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林政发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林西县人民政府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关于印发《林西县人民政府财政投资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评审管理办法》的通知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各乡镇人民政府、街道办事处，县直各委办局、人民团体、科级事业单位、垂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直管理单位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现将《林西县人民政府财政投资评审管理办法》印发给你们，请遵照执行。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林西县人民政府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林西县人民政府办公室                    2023年1月1日印发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</w:rPr>
        <w:sectPr>
          <w:pgSz w:w="11906" w:h="16838"/>
          <w:pgMar w:top="1417" w:right="1587" w:bottom="1417" w:left="1587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</w:rPr>
        <w:t>林西县人民政府财政投资评审管理办法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第一章 总则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highlight w:val="none"/>
          <w:lang w:eastAsia="zh-CN"/>
        </w:rPr>
        <w:t>第一条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>为加强财政投资项目管理，规范财政投资评审行为，提高财政投资评审效率和财政资金使用效益，根据国家和自治区有关法律法规，参照《赤峰市本级财政投资评审管理办法》（赤政发〔2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>号），结合我县实际，制定本办法。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highlight w:val="none"/>
          <w:lang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>财政投资评审是指财政部门运用专业技术手段，对财政投资项目进行评价与审查，以加强财政管理和提高投资效益为目的，科学合理地核定投资支出的财政管理行为。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highlight w:val="none"/>
          <w:lang w:eastAsia="zh-CN"/>
        </w:rPr>
        <w:t>第三条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>财政投资评审遵循合法性、公正性、客观性、效益性的原则。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highlight w:val="none"/>
          <w:lang w:eastAsia="zh-CN"/>
        </w:rPr>
        <w:t>第四条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highlight w:val="none"/>
        </w:rPr>
        <w:t>财政投资评审不改变政府投资项目主管部门的资金管理权限，不改变项目单位资金使用权、预算执行主体和会计核算主体地位。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第二章  评审机构及职能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第五条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县财政局是财政投资评审的主管部门，其所属的财政投资评审机构（以下简称评审中心）负责组织实施具体的评审和管理工作。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评审中心根据工作需要，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按相关规定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聘用社会中介机构协助进行评审。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第三章  评审范围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第六条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凡是使用财政性资金的新建、改建、扩建基本建设项目和其他支出项目，应按规定进行评审。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基本建设项目是指房屋建设、城市基础设施建设、交通设施建设及水利设施建设等项目。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其他支出项目是指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货物采购、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装饰装修、修缮等支出项目。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第七条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财政投资项目评审范围：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财政预算资金安排的建设项目；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）政府性融资安排的建设项目；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）用财政性资金作为还款来源的借贷性资金建设项目；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）外国政府、国际金融组织和社会捐（援）助的资金用于公共、公益性建设项目；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）其他财政性资金安排的建设项目。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第四章  评审内容和方式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第八条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财政投资项目评审内容包括：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工程类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项目预算和竣工结算的真实性、准确性、完整性和时效性等审核；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货物类采购项目的预算审核；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）其他需要评审的内容。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第九条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评审方式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（一）预算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评审；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竣工结算评审；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）全过程跟踪评审；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）其他方式。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第五章  评审依据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第十条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财政投资评审依据：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  <w:t>（一）国家、自治区、市颁布的法律法规及相关的规范性文件；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  <w:t>（二）国家及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  <w:t>有关部门颁布的标准、定额和技术规范；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  <w:t>（三）建设行政主管部门发布的工程造价信息及其他有关的市场价格信息；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  <w:t>（四）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  <w:t>图纸、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  <w:t>招投标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</w:rPr>
        <w:t>、合同等。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第六章  评审程序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第十一条  预算评审程序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（一）工程类计划投资（计划投资、总投资均指项目整体投资金额）（下同）5万元（含5万元）以下的项目，建设单位应当按以下要求实施：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1.资金来源为专项资金或年初预算资金的，建设单位向县人民政府提交申请文件，由分管副县长签批同意，项目资金需县本级追加预算的，由县人民政府主要领导签批同意追加预算资金的文件。申请文件需明确项目实施具体内容，包括施工要求及工程量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2.选择不少于三家有资质的施工单位进行询价；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3.建设单位领导班子会议讨论备选施工单位报送的实施方案及报价，综合考虑施工质量、报价、质保及维护等因素，择优选定一家施工单位签订施工合同，实施项目（需形成会议纪要，并由建设单位法人签批）；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4.建设单位应派专人对项目的实施进行监督，保证项目保质保量完成；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5.建设单位组织相关单位对项目进行验收，形成验收结论。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工程类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计划投资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5万元以上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60万元（含60万元）以下的项目，由建设单位委托评审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按以下要求实施：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1.资金来源为专项资金或年初预算资金的，建设单位向县人民政府提交需对项目进行预算评审的申请文件，由分管副县长签批同意；项目资金需县本级追加预算的，由县人民政府主要领导签批同意追加预算资金的文件；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委托有资质的设计单位实地勘察，出具符合相应法律法规规范的切实可行的设计图纸；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建设单位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自行或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委托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符合相关规定的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社会中介机构，依据设计图纸及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规定，出具工程预算书；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建设单位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自行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委托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符合相关规定的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社会中介机构，依据本办法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设计图纸及预算书，出具预算评审报告；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建设单位依据设计图纸及预算评审报告要求，选择不少于三家有资质的施工单位进行询价；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建设单位领导班子会议讨论备选施工单位报送的实施方案及报价，综合考虑施工质量、报价、质保及维护等因素，择优选定一家施工单位签订施工合同，实施项目（需形成会议纪要，并由建设单位法人签批）；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建设单位应派专人对项目的实施进行监管，保证项目达到设计要求和预算评审报告标准；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建设单位将以上程序纸质档案报财政局评审中心备查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工程类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计划投资60万元以上的项目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应当按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以下要求实施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1.资金来源为专项资金或年初预算资金的，建设单位向县人民政府提交需对项目进行预算评审的申请文件，由分管副县长签批同意；项目资金需县本级追加预算的，由县人民政府主要领导签批同意追加预算资金的文件；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7" w:firstLineChars="193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2.建设单位按要求填制《财政投资项目评审审批表》；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3.工程类项目在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施工图设计完成后，建设单位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或委托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社会中介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机构编制完整的工程预算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6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评审中心对建设单位提供的资料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审查合格的工程施工图纸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工程预算书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与评审有关的其他资料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等）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进行初审，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审核无误后将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评审资料转交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至聘用的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社会中介机构；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社会中介机构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建设项目按有关标准、规范进行评审；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6.社会中介机构对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评审过程中发现的问题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及时向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项目建设单位核实、取证；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向项目建设单位出具建设项目投资评审初步意见，结合项目建设单位的反馈意见，出具评审报告。评审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报告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作为招标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（采购）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的最高限价。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建设单位在招标（采购）时不得擅自改变预算评审意见金额、工程量清单内容。预算评审意见有效期为1年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FF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货物类计划投资10万元以上（含10万元）的采购项目由评审中心组织实施评审后，方可履行后续相关采购程序，评审金额为最高限价。评审程序参照工程类的项目执行。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第十二条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 xml:space="preserve"> 工程变更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现场签证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评审程序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财政投资项目工程变更、现场签证事项严格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“先审批、后实施”原则，实行专题会议审批制。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项目建设单位负责对财政投资项目工程变更、现场签证进行管理，按管理权限及时组织建设、监理、施工、设计、勘察等相关单位对工程变更、现场签证的必要性、可行性、合理性进行论证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，论证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通过后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报县人民政府审批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一个工程项目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实施过程中多次发生变更、现场签证，建设单位在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向县人民政府提交的申请报告中必须注明之前已批复过的变更、现场签证金额、本次申请的变更、现场签证金额及累计变更、现场签证金额。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工程变更、现场签证的审批权限：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县本级资金实施的项目发生变更及现场签证事项，按“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县本级资金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实施的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项目工程变更、现场签证审批权限表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”的规定组织相应会议审批通过并下发会议纪要，建设单位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要求履行财政评审及相关程序，并组织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实施。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专项资金实施的项目发生变更及现场签证事项，预算评审金额与累计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变更、现场签证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金额合计不超过专项资金来源数额，则按照“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专项资金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实施的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项目工程变更、现场签证审批权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限表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”规定的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审批权限，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组织相应会议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审批通过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，办公会议纪要下发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，建设单位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要求履行财政评审及相关程序，并组织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实施。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如果预算评审金额与累计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变更、现场签证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金额合计超过专项资金来源数额，需本级追加预算资金的，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追加资金部分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按照“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县本级资金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实施的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项目工程变更、现场签证审批权限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有关要求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办理。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项目工程变更、现场签证审批权限表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县本级资金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262"/>
        <w:gridCol w:w="2263"/>
        <w:gridCol w:w="2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总投资金额   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A（万元）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变更签证累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计金额B（万元）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＜A≤400 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400＜A≤1000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A＞1000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B≤40 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县长或县长委托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组织办公会议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县长或县长委托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组织办公会议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县长或县长委托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组织办公会议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40＜B≤60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县长或县长委托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组织办公会议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县长或县长委托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组织办公会议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60＜B≤100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政府常务会议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县长或县长委托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组织办公会议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B＞100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政府常务会议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项目工程变更、现场签证审批权限表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专项资金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）</w:t>
      </w:r>
    </w:p>
    <w:tbl>
      <w:tblPr>
        <w:tblStyle w:val="6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262"/>
        <w:gridCol w:w="2263"/>
        <w:gridCol w:w="2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总投资金额   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A（万元）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变更签证累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计金额B（万元）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＜A≤400 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400＜A≤1000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A＞1000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B≤20 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分管副县长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组织办公会议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分管副县长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组织办公会议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分管副县长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组织办公会议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20＜B≤40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县长组织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办公会议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分管副县长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组织办公会议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分管副县长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组织办公会议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40＜B≤60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县长组织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办公会议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分管副县长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组织办公会议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60＜B≤100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政府常务会议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县长组织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办公会议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B＞100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政府常务会议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未经评审中心评审的工程变更、现场签证工程量及其他事项，不得计入工程结算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建设项目发生工程变更、现场签证导致工程投资额超出批准概算时，建设单位应报概算原审批部门审批。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十三条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 xml:space="preserve">  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结算评审程序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（一）工程类总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投资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5万元以上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60万元（含60万元）以下的项目竣工后，按以下方式进行结算评审：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1.建设单位提供本单位主要领导签发结算评审的文件，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自行委托原预算评审中介机构对项目进行结算评审；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建设单位组织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施工单位、造价咨询中介机构及其他相关单位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对项目进行验收，形成验收结论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参加验收的相关单位盖章并签字确认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验收结论要求建设单位至少3人以上签署验收意见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中介机构依据本办法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验收结论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报审结算书等相关资料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进行结算评审，并出具结算评审报告；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建设单位将以上程序纸质档案报财政局评审中心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待复审；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评审中心以不低于30%的比例抽取复核，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复核评审报告金额作为拨付工程结算价款的依据；未抽取的项目以原结算评审报告金额作为拨付工程结算价款的依据。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工程类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总投资60万元以上400万元（含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0万元）以下的项目竣工后，按以下方式进行结算评审：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1.建设单位提供本单位主要领导签发结算评审的文件，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自行委托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符合相关规定的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社会中介机构对项目进行结算评审；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建设单位组织相关单位对项目进行验收，形成验收结论；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中介机构依据验收结论及本办法对项目进行结算评审，并出具结算评审报告；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结算评审报告金额若不超过中标金额加变更签证评审结果金额，则可作为拨付工程结算价款的依据；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结算金额若超过中标金额加变更签证评审结果金额，则需由评审中心对结算评审报告进行复核，评审中心出具复核意见书，复核意见作为拨付工程结算价款的依据；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建设单位将以上程序纸质档案报财政局评审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工程类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总投资400万元以上的项目竣工后，由评审中心对竣工结算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组织实施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评审，评审意见作为拨付工程结算价款的依据。建设单位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提交以下资料：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1.建设单位主要领导签发结算评审的文件；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.招标投标文件；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.中标通知书；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.建设工程施工合同；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.工程变更、现场签证单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审批文件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或会议纪要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及变更预算评审报告；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.工程竣工图纸；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.建设工程竣工验收证明书；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.工程结算书；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施工日志、监理日志等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与评审有关的其他资料。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第十四条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工程类的全过程跟踪评审程序参照预算评审、结算评审程序进行，按时完成工程实施过程中涉及工程造价的评审工作。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财政投资项目有下列情形之一的，评审中心不予受理：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（一）预结算超概（估）算的；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（二）未进行预算评审，要求结算评审的；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（三）达到招标标准未进行招标的；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（四）达到政府采购限额标准未实施政府采购的；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（五）应履行基本建设程序未履行的；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（六）缺少评审资料要件的；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建设单位在招标、采购环节改变预算评审意见金额或工程量清单内容，申请进行结算评审的；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）国家政策、政府相关部门文件有明确支付标准的项目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应急、单一来源政府采购货物和服务类项目；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）其他违反法律法规的情形。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凡是协助财政投资评审的社会中介机构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由财政局按照《林西县财政局投资评审中介机构管理办法》统一管理和支付费用。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所有社会中介机构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必须遵守本办法及《林西县财政局投资评审中介机构管理办法》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章  部门职责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第十七条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建设单位职责：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项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目建设前期，建设单位应客观、科学地编制可行性研究报告和初步设计，保证前期工作的深度达到规定要求，报相关部门审批。对工程施工图实行科学、细化设计，严禁施工图预算超概算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财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政投资的建设项目，建设单位应采用工程量清单计价方式依法进行发包；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根据项目建设具体情况，确需采用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总承包方式发包的，须经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县人民政府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审批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建设单位应在初步设计审批后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采用经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审批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的概算作为招标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依据，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依法进行发包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，并在招标文件中明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项目建设的目标、范围、设计和其他技术标准，包括对项目的内容、范围、规模、标准、功能、质量、安全、节约能源、生态环境保护、工期、验收等要求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严格落实工程变更、现场签证管理责任。因设计缺陷导致工程频繁变更、投资增加的，建设单位应依法依规追究设计单位责任；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及时提供财政投资评审所需的相关资料，并对所提供资料的真实性、合法性、完整性负责；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对评审过程中需核实的问题，应积极配合，不得拒绝，不得隐匿相关情况，不得提供虚假资料；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为提高评审效率，对评审中心出具的建设项目投资评审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结果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如同意评审结果则进行确认，若有不同意见，则需进行反馈，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项目建设单位应在五个工作日内签署意见，并由项目建设单位主要负责人签字，加盖公章；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根据财政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提出的问题和意见及时进行整改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一个财政年度内，不得将一个工程或密切相关的同一类工程进行拆分，规避评审、采购或招标。若发生此类问题，依据相关规定追究建设单位主要负责人责任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建设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单位、项目审批机构在项目立项、审批、设计、招投标、建设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各阶段进行严格管理；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未按相关规定履行部门职责导致国有资金损失的，应依法依规追究相关责任人责任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第十八条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在投资评审工作中应履行下列职责：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　　（一）认真执行国家、自治区、市、县有关法律法规和规范性文件，严格按国家有关法律法规和政策规定组织开展评审工作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，按要求完成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评审任务；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财政部门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应对项目投资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额度进行把关，提供真实准确的资金来源依据；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）评审中心应建立项目档案管理制度，真实、准确、完整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的保存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档案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，做好各类资料的存档和保管工作；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评审中心应建立健全内部控制制度，确保评审工作质量，并对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参与评审的社会中介机构进行规范管理。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第十九条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审计部门对财政投资建设项目的工程造价管理进行审计监督。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章  附则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第二十条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本办法由县财政局负责解释。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第二十一条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本办法自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2023年1月1日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起实施。原《关于印发&lt;林西县人民政府政府性投资评审管理暂行办法&gt;的通知》(林政发〔20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号)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《&lt;林西县人民政府财政投资评审管理暂行办法&gt;的补充说明》（林财字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〔20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）及《林西县财政投资评审管理办法》（试行）（林财字〔2022〕12号）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5D5C93"/>
    <w:multiLevelType w:val="singleLevel"/>
    <w:tmpl w:val="F75D5C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7246916"/>
    <w:multiLevelType w:val="singleLevel"/>
    <w:tmpl w:val="7724691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zY4MWZhMmEwMTE2MDM3MWU2YjI3ODc3YzlmMjkifQ=="/>
  </w:docVars>
  <w:rsids>
    <w:rsidRoot w:val="00000000"/>
    <w:rsid w:val="0FD3668F"/>
    <w:rsid w:val="183A374F"/>
    <w:rsid w:val="27BA5D13"/>
    <w:rsid w:val="33301B38"/>
    <w:rsid w:val="374F016C"/>
    <w:rsid w:val="39F83C4E"/>
    <w:rsid w:val="420B41D3"/>
    <w:rsid w:val="610D57C0"/>
    <w:rsid w:val="6CDC3400"/>
    <w:rsid w:val="706C4C15"/>
    <w:rsid w:val="74837EFB"/>
    <w:rsid w:val="78B33DB1"/>
    <w:rsid w:val="7D64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137</Characters>
  <Lines>0</Lines>
  <Paragraphs>0</Paragraphs>
  <TotalTime>1</TotalTime>
  <ScaleCrop>false</ScaleCrop>
  <LinksUpToDate>false</LinksUpToDate>
  <CharactersWithSpaces>137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2023-01-04T09:06:00Z</dcterms:created>
  <dc:creator>Administrator</dc:creator>
  <cp:lastModifiedBy>dayinshi2</cp:lastModifiedBy>
  <cp:lastPrinted>2009-02-03T12:49:45Z</cp:lastPrinted>
  <dcterms:modified xsi:type="dcterms:W3CDTF">2009-02-03T12:49:46Z</dcterms:modified>
  <dc:title>林政发﹝2023﹞**号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B9DA05A94AA846C7BDD4BFBE731736FA</vt:lpwstr>
  </property>
</Properties>
</file>