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420"/>
        <w:jc w:val="center"/>
        <w:rPr>
          <w:rFonts w:hint="default" w:ascii="Times New Roman" w:hAnsi="Times New Roman" w:cs="Times New Roman"/>
          <w:i w:val="0"/>
          <w:iCs w:val="0"/>
          <w:caps w:val="0"/>
          <w:color w:val="333333"/>
          <w:spacing w:val="0"/>
          <w:sz w:val="31"/>
          <w:szCs w:val="31"/>
        </w:rPr>
      </w:pPr>
      <w:r>
        <w:rPr>
          <w:rFonts w:ascii="方正小标宋简体" w:hAnsi="方正小标宋简体" w:eastAsia="方正小标宋简体" w:cs="方正小标宋简体"/>
          <w:i w:val="0"/>
          <w:iCs w:val="0"/>
          <w:caps w:val="0"/>
          <w:color w:val="333333"/>
          <w:spacing w:val="0"/>
          <w:sz w:val="43"/>
          <w:szCs w:val="43"/>
          <w:bdr w:val="none" w:color="auto" w:sz="0" w:space="0"/>
          <w:shd w:val="clear" w:fill="FFFFFF"/>
        </w:rPr>
        <w:t>市场监管总局印发《关于规范市场监督管理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jc w:val="center"/>
        <w:rPr>
          <w:rFonts w:hint="default" w:ascii="Times New Roman" w:hAnsi="Times New Roman" w:cs="Times New Roman"/>
          <w:i w:val="0"/>
          <w:iCs w:val="0"/>
          <w:caps w:val="0"/>
          <w:color w:val="000000"/>
          <w:spacing w:val="0"/>
          <w:sz w:val="31"/>
          <w:szCs w:val="3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rPr>
        <w:t>行政处罚裁量权的指导意见》的通知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jc w:val="center"/>
        <w:rPr>
          <w:rFonts w:hint="default" w:ascii="Times New Roman" w:hAnsi="Times New Roman" w:cs="Times New Roman"/>
          <w:i w:val="0"/>
          <w:iCs w:val="0"/>
          <w:caps w:val="0"/>
          <w:color w:val="000000"/>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420"/>
        <w:rPr>
          <w:rFonts w:hint="default" w:ascii="Times New Roman" w:hAnsi="Times New Roman" w:cs="Times New Roman"/>
          <w:i w:val="0"/>
          <w:iCs w:val="0"/>
          <w:caps w:val="0"/>
          <w:color w:val="333333"/>
          <w:spacing w:val="0"/>
          <w:sz w:val="31"/>
          <w:szCs w:val="31"/>
        </w:rPr>
      </w:pPr>
      <w:r>
        <w:rPr>
          <w:rFonts w:ascii="仿宋_GB2312" w:hAnsi="Times New Roman" w:eastAsia="仿宋_GB2312" w:cs="仿宋_GB2312"/>
          <w:i w:val="0"/>
          <w:iCs w:val="0"/>
          <w:caps w:val="0"/>
          <w:color w:val="333333"/>
          <w:spacing w:val="0"/>
          <w:sz w:val="31"/>
          <w:szCs w:val="31"/>
          <w:bdr w:val="none" w:color="auto" w:sz="0" w:space="0"/>
          <w:shd w:val="clear" w:fill="FFFFFF"/>
        </w:rPr>
        <w:t>各省、自治区、直辖市和新疆生产建设兵团市场监管局（厅、委）</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，总局各司局：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《关于规范市场监督管理行政处罚裁量权的指导意见》已经</w:t>
      </w:r>
      <w:r>
        <w:rPr>
          <w:rFonts w:hint="default" w:ascii="Times New Roman" w:hAnsi="Times New Roman" w:cs="Times New Roman"/>
          <w:i w:val="0"/>
          <w:iCs w:val="0"/>
          <w:caps w:val="0"/>
          <w:color w:val="333333"/>
          <w:spacing w:val="0"/>
          <w:sz w:val="31"/>
          <w:szCs w:val="31"/>
          <w:bdr w:val="none" w:color="auto" w:sz="0" w:space="0"/>
          <w:shd w:val="clear" w:fill="FFFFFF"/>
        </w:rPr>
        <w:t>2022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cs="Times New Roman"/>
          <w:i w:val="0"/>
          <w:iCs w:val="0"/>
          <w:caps w:val="0"/>
          <w:color w:val="333333"/>
          <w:spacing w:val="0"/>
          <w:sz w:val="31"/>
          <w:szCs w:val="31"/>
          <w:bdr w:val="none" w:color="auto" w:sz="0" w:space="0"/>
          <w:shd w:val="clear" w:fill="FFFFFF"/>
        </w:rPr>
        <w:t>9</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28</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日市场监管总局第</w:t>
      </w:r>
      <w:r>
        <w:rPr>
          <w:rFonts w:hint="default" w:ascii="Times New Roman" w:hAnsi="Times New Roman" w:cs="Times New Roman"/>
          <w:i w:val="0"/>
          <w:iCs w:val="0"/>
          <w:caps w:val="0"/>
          <w:color w:val="333333"/>
          <w:spacing w:val="0"/>
          <w:sz w:val="31"/>
          <w:szCs w:val="31"/>
          <w:bdr w:val="none" w:color="auto" w:sz="0" w:space="0"/>
          <w:shd w:val="clear" w:fill="FFFFFF"/>
        </w:rPr>
        <w:t>13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次局务会议通过，现印发给你们，请结合实际认真贯彻落实。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宋体" w:hAnsi="宋体" w:eastAsia="宋体" w:cs="宋体"/>
          <w:i w:val="0"/>
          <w:iCs w:val="0"/>
          <w:caps w:val="0"/>
          <w:color w:val="333333"/>
          <w:spacing w:val="0"/>
          <w:sz w:val="21"/>
          <w:szCs w:val="21"/>
        </w:rPr>
      </w:pPr>
      <w:r>
        <w:rPr>
          <w:rFonts w:ascii="仿宋" w:hAnsi="仿宋" w:eastAsia="仿宋" w:cs="仿宋"/>
          <w:i w:val="0"/>
          <w:iCs w:val="0"/>
          <w:caps w:val="0"/>
          <w:color w:val="333333"/>
          <w:spacing w:val="0"/>
          <w:sz w:val="31"/>
          <w:szCs w:val="31"/>
          <w:bdr w:val="none" w:color="auto" w:sz="0" w:space="0"/>
          <w:shd w:val="clear" w:fill="FFFFFF"/>
        </w:rPr>
        <w:t>市场监管总局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right"/>
        <w:rPr>
          <w:rFonts w:hint="eastAsia" w:ascii="宋体" w:hAnsi="宋体" w:eastAsia="宋体" w:cs="宋体"/>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30"/>
          <w:szCs w:val="30"/>
          <w:bdr w:val="none" w:color="auto" w:sz="0" w:space="0"/>
          <w:shd w:val="clear" w:fill="FFFFFF"/>
        </w:rPr>
        <w:t>2022</w:t>
      </w:r>
      <w:r>
        <w:rPr>
          <w:rFonts w:hint="eastAsia" w:ascii="仿宋" w:hAnsi="仿宋" w:eastAsia="仿宋" w:cs="仿宋"/>
          <w:i w:val="0"/>
          <w:iCs w:val="0"/>
          <w:caps w:val="0"/>
          <w:color w:val="333333"/>
          <w:spacing w:val="0"/>
          <w:sz w:val="30"/>
          <w:szCs w:val="30"/>
          <w:bdr w:val="none" w:color="auto" w:sz="0" w:space="0"/>
          <w:shd w:val="clear" w:fill="FFFFFF"/>
        </w:rPr>
        <w:t>年10月8日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righ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default" w:ascii="Times New Roman" w:hAnsi="Times New Roman" w:cs="Times New Roman"/>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关于规范市场监督管理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Fonts w:hint="default" w:ascii="Times New Roman" w:hAnsi="Times New Roman" w:cs="Times New Roman"/>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行政处罚裁量权的指导意见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center"/>
        <w:rPr>
          <w:rFonts w:hint="default" w:ascii="Times New Roman" w:hAnsi="Times New Roman" w:cs="Times New Roman"/>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rPr>
        <w:t> 第一条</w:t>
      </w:r>
      <w:r>
        <w:rPr>
          <w:rFonts w:hint="default" w:ascii="sans-serif" w:hAnsi="sans-serif" w:eastAsia="sans-serif" w:cs="sans-serif"/>
          <w:i w:val="0"/>
          <w:iCs w:val="0"/>
          <w:caps w:val="0"/>
          <w:color w:val="000000"/>
          <w:spacing w:val="0"/>
          <w:sz w:val="31"/>
          <w:szCs w:val="31"/>
          <w:bdr w:val="none" w:color="auto" w:sz="0" w:space="0"/>
        </w:rPr>
        <w:t>  </w:t>
      </w:r>
      <w:r>
        <w:rPr>
          <w:rFonts w:hint="eastAsia" w:ascii="仿宋_GB2312" w:hAnsi="sans-serif" w:eastAsia="仿宋_GB2312" w:cs="仿宋_GB2312"/>
          <w:i w:val="0"/>
          <w:iCs w:val="0"/>
          <w:caps w:val="0"/>
          <w:color w:val="000000"/>
          <w:spacing w:val="0"/>
          <w:sz w:val="31"/>
          <w:szCs w:val="31"/>
          <w:bdr w:val="none" w:color="auto" w:sz="0" w:space="0"/>
        </w:rPr>
        <w:t>为了规范市场监督管理行政处罚行为，保障市场监管部门依法行使行政处罚裁量权，保护自然人、法人和其他组织的合法权益，根据《</w:t>
      </w:r>
      <w:r>
        <w:rPr>
          <w:rFonts w:hint="eastAsia" w:ascii="仿宋_GB2312" w:hAnsi="微软雅黑" w:eastAsia="仿宋_GB2312" w:cs="仿宋_GB2312"/>
          <w:i w:val="0"/>
          <w:iCs w:val="0"/>
          <w:caps w:val="0"/>
          <w:color w:val="000000"/>
          <w:spacing w:val="0"/>
          <w:sz w:val="31"/>
          <w:szCs w:val="31"/>
          <w:bdr w:val="none" w:color="auto" w:sz="0" w:space="0"/>
        </w:rPr>
        <w:t>中华人民共和国行政处罚法</w:t>
      </w:r>
      <w:r>
        <w:rPr>
          <w:rFonts w:hint="eastAsia" w:ascii="仿宋_GB2312" w:hAnsi="sans-serif" w:eastAsia="仿宋_GB2312" w:cs="仿宋_GB2312"/>
          <w:i w:val="0"/>
          <w:iCs w:val="0"/>
          <w:caps w:val="0"/>
          <w:color w:val="000000"/>
          <w:spacing w:val="0"/>
          <w:sz w:val="31"/>
          <w:szCs w:val="31"/>
          <w:bdr w:val="none" w:color="auto" w:sz="0" w:space="0"/>
        </w:rPr>
        <w:t>》等法律、法规、规章和国家有关规定，结合市场监管工作实际，制定本意见。</w:t>
      </w:r>
      <w:r>
        <w:rPr>
          <w:rFonts w:hint="default" w:ascii="sans-serif" w:hAnsi="sans-serif" w:eastAsia="sans-serif" w:cs="sans-serif"/>
          <w:i w:val="0"/>
          <w:iCs w:val="0"/>
          <w:caps w:val="0"/>
          <w:color w:val="000000"/>
          <w:spacing w:val="0"/>
          <w:sz w:val="31"/>
          <w:szCs w:val="31"/>
          <w:bdr w:val="none" w:color="auto" w:sz="0" w:space="0"/>
        </w:rPr>
        <w:br w:type="textWrapping"/>
      </w:r>
      <w:r>
        <w:rPr>
          <w:rFonts w:hint="eastAsia" w:ascii="黑体" w:hAnsi="宋体" w:eastAsia="黑体" w:cs="黑体"/>
          <w:i w:val="0"/>
          <w:iCs w:val="0"/>
          <w:caps w:val="0"/>
          <w:color w:val="000000"/>
          <w:spacing w:val="0"/>
          <w:sz w:val="31"/>
          <w:szCs w:val="31"/>
          <w:bdr w:val="none" w:color="auto" w:sz="0" w:space="0"/>
        </w:rPr>
        <w:t>    第二条</w:t>
      </w:r>
      <w:r>
        <w:rPr>
          <w:rFonts w:hint="default" w:ascii="sans-serif" w:hAnsi="sans-serif" w:eastAsia="sans-serif" w:cs="sans-serif"/>
          <w:i w:val="0"/>
          <w:iCs w:val="0"/>
          <w:caps w:val="0"/>
          <w:color w:val="000000"/>
          <w:spacing w:val="0"/>
          <w:sz w:val="31"/>
          <w:szCs w:val="31"/>
          <w:bdr w:val="none" w:color="auto" w:sz="0" w:space="0"/>
        </w:rPr>
        <w:t>  </w:t>
      </w:r>
      <w:r>
        <w:rPr>
          <w:rFonts w:hint="eastAsia" w:ascii="仿宋_GB2312" w:hAnsi="sans-serif" w:eastAsia="仿宋_GB2312" w:cs="仿宋_GB2312"/>
          <w:i w:val="0"/>
          <w:iCs w:val="0"/>
          <w:caps w:val="0"/>
          <w:color w:val="000000"/>
          <w:spacing w:val="0"/>
          <w:sz w:val="31"/>
          <w:szCs w:val="31"/>
          <w:bdr w:val="none" w:color="auto" w:sz="0" w:space="0"/>
        </w:rPr>
        <w:t>本意见所称行政处罚裁量权，是指各级市场监管部门在实施行政处罚时，根据法律、法规、规章的规定，综合考虑违法行为的事实、性质、情节、社会危害程度以及当事人主观过错等因素，决定是否给予行政处罚、给予行政处罚的种类和幅度的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sz w:val="31"/>
          <w:szCs w:val="31"/>
          <w:bdr w:val="none" w:color="auto" w:sz="0" w:space="0"/>
        </w:rPr>
        <w:t>第三条 </w:t>
      </w:r>
      <w:r>
        <w:rPr>
          <w:rFonts w:hint="eastAsia" w:ascii="仿宋_GB2312" w:hAnsi="sans-serif" w:eastAsia="仿宋_GB2312" w:cs="仿宋_GB2312"/>
          <w:i w:val="0"/>
          <w:iCs w:val="0"/>
          <w:caps w:val="0"/>
          <w:color w:val="000000"/>
          <w:spacing w:val="0"/>
          <w:sz w:val="31"/>
          <w:szCs w:val="31"/>
          <w:bdr w:val="none" w:color="auto" w:sz="0" w:space="0"/>
        </w:rPr>
        <w:t> 市场监管部门行使行政处罚裁量权，应当坚持以下原则：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rPr>
        <w:t>（一）合法原则。依据法定权限，符合法律、法规、规章规定的裁量条件、处罚种类和幅度，遵守法定程序。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（二）过罚相当原则。以事实为依据，处罚的种类和幅度与违法行为的事实、性质、情节、社会危害程度等相当。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（三）公平公正原则。对违法事实、性质、情节、社会危害程度等基本相同的违法行为实施行政处罚时，适用的法律依据、处罚种类和幅度基本一致。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（四）处罚和教育相结合原则。兼顾纠正违法行为和教育当事人，引导当事人自觉守法。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（五）综合裁量原则。综合考虑个案情况，兼顾地区经济社会发展状况、当事人主客观情况等相关因素，实现政治效果、社会效果、法律效果的统一。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 第四条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省级和设区的市级市场监管部门可以参照本意见，结合地区实际制定行政处罚裁量权基准。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县级市场监管部门可以在法定范围内，对上级市场监管部门制定的行政处罚裁量权基准适用的标准、条件、种类、幅度、方式、时限予以合理细化量化。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  第五条</w:t>
      </w:r>
      <w:r>
        <w:rPr>
          <w:rFonts w:hint="default" w:ascii="Times New Roman" w:hAnsi="Times New Roman" w:eastAsia="宋体"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对同一行政处罚事项，上级市场监管部门已经制定行政处罚裁量权基准的，下级市场监管部门原则上应当直接适用；如下级市场监管部门不能直接适用，可以结合地区经济社会发展状况，在法律、法规、规章规定的行政处罚裁量权范围内进行合理细化量化，但不能超出上级市场监管部门划定的阶次或者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sz w:val="31"/>
          <w:szCs w:val="31"/>
          <w:bdr w:val="none" w:color="auto" w:sz="0" w:space="0"/>
          <w:shd w:val="clear" w:fill="FFFFFF"/>
        </w:rPr>
        <w:t> 下级市场监管部门制定的行政处罚裁量权基准与上级市场监管部门制定的行政处罚裁量权基准冲突的，应当适用上级市场监管部门制定的行政处罚裁量权基准。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行政处罚裁量权基准应当包括违法行为、法定依据、裁量阶次、适用条件和具体标准等内容。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制定行政处罚裁量权基准，应当对以下内容进行细化和量化：</w:t>
      </w:r>
      <w:r>
        <w:rPr>
          <w:rFonts w:hint="default" w:ascii="Times New Roman" w:hAnsi="Times New Roman" w:cs="Times New Roman"/>
          <w:i w:val="0"/>
          <w:iCs w:val="0"/>
          <w:caps w:val="0"/>
          <w:color w:val="333333"/>
          <w:spacing w:val="0"/>
          <w:sz w:val="31"/>
          <w:szCs w:val="31"/>
          <w:bdr w:val="none" w:color="auto" w:sz="0" w:space="0"/>
          <w:shd w:val="clear" w:fill="FFFFFF"/>
        </w:rPr>
        <w:br w:type="textWrapping"/>
      </w:r>
      <w:r>
        <w:rPr>
          <w:rFonts w:hint="eastAsia" w:ascii="仿宋_GB2312" w:hAnsi="Times New Roman" w:eastAsia="仿宋_GB2312" w:cs="仿宋_GB2312"/>
          <w:i w:val="0"/>
          <w:iCs w:val="0"/>
          <w:caps w:val="0"/>
          <w:color w:val="333333"/>
          <w:spacing w:val="0"/>
          <w:sz w:val="31"/>
          <w:szCs w:val="31"/>
          <w:bdr w:val="none" w:color="auto" w:sz="0" w:space="0"/>
          <w:shd w:val="clear" w:fill="FFFFFF"/>
        </w:rPr>
        <w:t>   （一）法律、法规、规章规定可以选择决定是否给予行政处罚的，明确是否给予处罚的具体情形；</w:t>
      </w:r>
      <w:r>
        <w:rPr>
          <w:rFonts w:hint="default" w:ascii="Times New Roman" w:hAnsi="Times New Roman" w:cs="Times New Roman"/>
          <w:i w:val="0"/>
          <w:iCs w:val="0"/>
          <w:caps w:val="0"/>
          <w:color w:val="333333"/>
          <w:spacing w:val="0"/>
          <w:sz w:val="31"/>
          <w:szCs w:val="31"/>
          <w:bdr w:val="none" w:color="auto" w:sz="0" w:space="0"/>
          <w:shd w:val="clear" w:fill="FFFFFF"/>
        </w:rPr>
        <w:br w:type="textWrapping"/>
      </w:r>
      <w:r>
        <w:rPr>
          <w:rFonts w:hint="eastAsia" w:ascii="仿宋_GB2312" w:hAnsi="Times New Roman" w:eastAsia="仿宋_GB2312" w:cs="仿宋_GB2312"/>
          <w:i w:val="0"/>
          <w:iCs w:val="0"/>
          <w:caps w:val="0"/>
          <w:color w:val="333333"/>
          <w:spacing w:val="0"/>
          <w:sz w:val="31"/>
          <w:szCs w:val="31"/>
          <w:bdr w:val="none" w:color="auto" w:sz="0" w:space="0"/>
          <w:shd w:val="clear" w:fill="FFFFFF"/>
        </w:rPr>
        <w:t>   （二）法律、法规、规章规定可以选择行政处罚种类的，明确适用不同处罚种类的具体情形；</w:t>
      </w:r>
      <w:r>
        <w:rPr>
          <w:rFonts w:hint="default" w:ascii="Times New Roman" w:hAnsi="Times New Roman" w:cs="Times New Roman"/>
          <w:i w:val="0"/>
          <w:iCs w:val="0"/>
          <w:caps w:val="0"/>
          <w:color w:val="333333"/>
          <w:spacing w:val="0"/>
          <w:sz w:val="31"/>
          <w:szCs w:val="31"/>
          <w:bdr w:val="none" w:color="auto" w:sz="0" w:space="0"/>
          <w:shd w:val="clear" w:fill="FFFFFF"/>
        </w:rPr>
        <w:br w:type="textWrapping"/>
      </w:r>
      <w:r>
        <w:rPr>
          <w:rFonts w:hint="eastAsia" w:ascii="仿宋_GB2312" w:hAnsi="Times New Roman" w:eastAsia="仿宋_GB2312" w:cs="仿宋_GB2312"/>
          <w:i w:val="0"/>
          <w:iCs w:val="0"/>
          <w:caps w:val="0"/>
          <w:color w:val="333333"/>
          <w:spacing w:val="0"/>
          <w:sz w:val="31"/>
          <w:szCs w:val="31"/>
          <w:bdr w:val="none" w:color="auto" w:sz="0" w:space="0"/>
          <w:shd w:val="clear" w:fill="FFFFFF"/>
        </w:rPr>
        <w:t>   （三）法律、法规、规章规定可以选择行政处罚幅度的，明确划分易于操作的裁量阶次，并确定适用不同阶次的具体情形；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   （四）法律、法规、规章规定可以单处或者并处行政处罚的，明确规定单处或者并处行政处罚的具体情形；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sz w:val="31"/>
          <w:szCs w:val="31"/>
          <w:bdr w:val="none" w:color="auto" w:sz="0" w:space="0"/>
          <w:shd w:val="clear" w:fill="FFFFFF"/>
        </w:rPr>
        <w:t> （五）需要在法定处罚种类或者幅度以下减轻行政处罚的，应当在严格评估后明确具体情形、适用条件和处罚标准。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市场监管部门实施行政处罚应当以法律、法规、规章为依据。有行政处罚裁量权基准的，应当在行政处罚决定书中对行政处罚裁量权基准的适用情况予以明确。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default" w:ascii="Times New Roman" w:hAnsi="Times New Roman" w:eastAsia="宋体"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sz w:val="31"/>
          <w:szCs w:val="31"/>
          <w:bdr w:val="none" w:color="auto" w:sz="0" w:space="0"/>
          <w:shd w:val="clear" w:fill="FFFFFF"/>
        </w:rPr>
        <w:t>适用上级市场监管部门制定的行政处罚裁量权基准可能出现前款情形的，逐级报请该基准制定部门批准后，可以调整适用。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default" w:ascii="Times New Roman" w:hAnsi="Times New Roman" w:eastAsia="宋体" w:cs="Times New Roman"/>
          <w:i w:val="0"/>
          <w:iCs w:val="0"/>
          <w:caps w:val="0"/>
          <w:color w:val="333333"/>
          <w:spacing w:val="0"/>
          <w:sz w:val="30"/>
          <w:szCs w:val="30"/>
          <w:bdr w:val="none" w:color="auto" w:sz="0" w:space="0"/>
          <w:shd w:val="clear" w:fill="FFFFFF"/>
        </w:rPr>
        <w:t>  </w:t>
      </w:r>
      <w:r>
        <w:rPr>
          <w:rFonts w:hint="eastAsia" w:ascii="仿宋_GB2312" w:hAnsi="宋体" w:eastAsia="仿宋_GB2312" w:cs="仿宋_GB2312"/>
          <w:i w:val="0"/>
          <w:iCs w:val="0"/>
          <w:caps w:val="0"/>
          <w:color w:val="333333"/>
          <w:spacing w:val="0"/>
          <w:sz w:val="31"/>
          <w:szCs w:val="31"/>
          <w:bdr w:val="none" w:color="auto" w:sz="0" w:space="0"/>
          <w:shd w:val="clear" w:fill="FFFFFF"/>
        </w:rPr>
        <w:t>建立行政处罚裁量权基准动态调整机制，行政处罚裁量权基准所依据的法律、法规、规章作出修改，或者客观情况发生重大变化的，及时进行调整。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本意见中下列用语的含义如下：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（一）不予行政处罚是指因法定原因对特定违法行为不给予行政处罚。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（三）从轻行政处罚是指在依法可以选择的处罚种类和处罚幅度内，适用较轻、较少的处罚种类或者较低的处罚幅度。其中，罚款的数额应当在从最低限到最高限这一幅度中较低的</w:t>
      </w:r>
      <w:r>
        <w:rPr>
          <w:rFonts w:hint="default" w:ascii="Times New Roman" w:hAnsi="Times New Roman" w:cs="Times New Roman"/>
          <w:i w:val="0"/>
          <w:iCs w:val="0"/>
          <w:caps w:val="0"/>
          <w:color w:val="333333"/>
          <w:spacing w:val="0"/>
          <w:sz w:val="31"/>
          <w:szCs w:val="31"/>
          <w:bdr w:val="none" w:color="auto" w:sz="0" w:space="0"/>
          <w:shd w:val="clear" w:fill="FFFFFF"/>
        </w:rPr>
        <w:t>30%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（四）从重行政处罚是指在依法可以选择的处罚种类和处罚幅度内，适用较重、较多的处罚种类或者较高的处罚幅度。其中，罚款的数额应当在从最低限到最高限这一幅度中较高的</w:t>
      </w:r>
      <w:r>
        <w:rPr>
          <w:rFonts w:hint="default" w:ascii="Times New Roman" w:hAnsi="Times New Roman" w:cs="Times New Roman"/>
          <w:i w:val="0"/>
          <w:iCs w:val="0"/>
          <w:caps w:val="0"/>
          <w:color w:val="333333"/>
          <w:spacing w:val="0"/>
          <w:sz w:val="31"/>
          <w:szCs w:val="31"/>
          <w:bdr w:val="none" w:color="auto" w:sz="0" w:space="0"/>
          <w:shd w:val="clear" w:fill="FFFFFF"/>
        </w:rPr>
        <w:t>30%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有下列情形之一的，应当依法不予行政处罚：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（一）不满十四周岁的未成年人有违法行为的；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（二）精神病人、智力残疾人在不能辨认或者不能控制自己行为时有违法行为的；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（三）违法行为轻微并及时改正，没有造成危害后果的；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（四）除法律、行政法规另有规定外，当事人有证据足以证明没有主观过错的；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（五）除法律另有规定外，涉及公民生命健康安全、金融安全且有危害后果的违法行为在五年内未被发现的，其他违法行为在二年内未被发现的；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（六）其他依法应当不予行政处罚的。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初次违法且危害后果轻微并及时改正的，可以不予行政处罚。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市场监管部门可以依照有关规定制定轻微违法行为依法免予处罚清单并进行动态调整。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有下列情形之一的，应当依法从轻或者减轻行政处罚：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（一）已满十四周岁不满十八周岁的未成年人有违法行为的；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（二）主动消除或者减轻违法行为危害后果的；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（三）受他人胁迫或者诱骗实施违法行为的；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（四）主动供述市场监管部门尚未掌握的违法行为的；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（五）配合市场监管部门查处违法行为有立功表现的，包括但不限于当事人揭发市场监管领域其他重大违法行为或者提供查处市场监管领域其他重大违法行为的关键线索或证据，并经查证属实的；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（六）其他依法应当从轻或者减轻行政处罚的。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有下列情形之一的，可以依法从轻或者减轻行政处罚：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（一）尚未完全丧失辨认或者控制自己行为能力的精神病人、智力残疾人有违法行为的；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（二）积极配合市场监管部门调查并主动提供证据材料的；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（三）违法行为轻微，社会危害性较小的；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（四）在共同违法行为中起次要或者辅助作用的；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（五）当事人因残疾或者重大疾病等原因生活确有困难的；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（六）其他依法可以从轻或者减轻行政处罚的。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eastAsia" w:ascii="宋体" w:hAnsi="宋体" w:eastAsia="宋体" w:cs="宋体"/>
          <w:i w:val="0"/>
          <w:iCs w:val="0"/>
          <w:caps w:val="0"/>
          <w:color w:val="333333"/>
          <w:spacing w:val="0"/>
          <w:sz w:val="21"/>
          <w:szCs w:val="21"/>
        </w:rPr>
      </w:pPr>
      <w:r>
        <w:rPr>
          <w:rFonts w:hint="eastAsia" w:ascii="黑体" w:hAnsi="宋体" w:eastAsia="黑体" w:cs="黑体"/>
          <w:i w:val="0"/>
          <w:iCs w:val="0"/>
          <w:caps w:val="0"/>
          <w:color w:val="333333"/>
          <w:spacing w:val="0"/>
          <w:sz w:val="30"/>
          <w:szCs w:val="30"/>
          <w:bdr w:val="none" w:color="auto" w:sz="0" w:space="0"/>
          <w:shd w:val="clear" w:fill="FFFFFF"/>
        </w:rPr>
        <w:t>第十五条</w:t>
      </w: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_GB2312" w:hAnsi="宋体" w:eastAsia="仿宋_GB2312" w:cs="仿宋_GB2312"/>
          <w:i w:val="0"/>
          <w:iCs w:val="0"/>
          <w:caps w:val="0"/>
          <w:color w:val="333333"/>
          <w:spacing w:val="0"/>
          <w:sz w:val="31"/>
          <w:szCs w:val="31"/>
          <w:bdr w:val="none" w:color="auto" w:sz="0" w:space="0"/>
          <w:shd w:val="clear" w:fill="FFFFFF"/>
        </w:rPr>
        <w:t>有下列情形之一的，应当依法从重行政处罚：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（一）在重大传染病疫情等突发事件期间，有违反突发事件应对措施行为的；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（二）其他依法应当从重行政处罚的。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有下列情形之一的，可以依法从重行政处罚：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（一）违法行为造成他人人身伤亡或者重大财产损失等严重危害后果的；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（二）教唆、胁迫、诱骗他人实施违法行为的；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（三）因同一性质的违法行为受过刑事处罚，或者一年内因同一性质的违法行为受过行政处罚的；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（四）阻碍或者拒不配合行政执法人员依法执行职务或者对行政执法人员打击报复的；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（五）隐藏、转移、损毁、使用、处置市场监管部门依法查封、扣押的财物或者先行登记保存的证据的；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（六）伪造、隐匿、毁灭证据的；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（七）其他依法可以从重行政处罚的。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仿宋_GB2312" w:hAnsi="宋体" w:eastAsia="仿宋_GB2312" w:cs="仿宋_GB2312"/>
          <w:i w:val="0"/>
          <w:iCs w:val="0"/>
          <w:caps w:val="0"/>
          <w:color w:val="333333"/>
          <w:spacing w:val="0"/>
          <w:sz w:val="31"/>
          <w:szCs w:val="31"/>
          <w:bdr w:val="none" w:color="auto" w:sz="0" w:space="0"/>
          <w:shd w:val="clear" w:fill="FFFFFF"/>
        </w:rPr>
        <w:t>当事人因前款第四至六项所涉行为已被行政处罚的，该行为不再作为从重行政处罚情节。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当事人既有从轻或者减轻行政处罚情节，又有从重行政处罚情节的，市场监管部门应当结合案件情况综合考虑后作出裁量决定。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市场监管部门制定的行政处罚裁量权基准应当主动向社会公开。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Times New Roman" w:hAnsi="Times New Roman" w:cs="Times New Roman"/>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0"/>
          <w:szCs w:val="30"/>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市场监管部门应当按照《市场监督管理执法监督暂行规定》（市场监管总局令第</w:t>
      </w:r>
      <w:r>
        <w:rPr>
          <w:rFonts w:hint="default" w:ascii="Times New Roman" w:hAnsi="Times New Roman" w:cs="Times New Roman"/>
          <w:i w:val="0"/>
          <w:iCs w:val="0"/>
          <w:caps w:val="0"/>
          <w:color w:val="333333"/>
          <w:spacing w:val="0"/>
          <w:sz w:val="31"/>
          <w:szCs w:val="31"/>
          <w:bdr w:val="none" w:color="auto" w:sz="0" w:space="0"/>
          <w:shd w:val="clear" w:fill="FFFFFF"/>
        </w:rPr>
        <w:t>22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号）的要求，加强对行政处罚裁量权基准制度执行情况的监督检查。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rPr>
        <w:t>第二十条</w:t>
      </w:r>
      <w:r>
        <w:rPr>
          <w:rFonts w:hint="eastAsia" w:ascii="仿宋" w:hAnsi="仿宋" w:eastAsia="仿宋" w:cs="仿宋"/>
          <w:i w:val="0"/>
          <w:iCs w:val="0"/>
          <w:caps w:val="0"/>
          <w:color w:val="000000"/>
          <w:spacing w:val="0"/>
          <w:sz w:val="30"/>
          <w:szCs w:val="30"/>
          <w:bdr w:val="none" w:color="auto" w:sz="0" w:space="0"/>
        </w:rPr>
        <w:t> </w:t>
      </w:r>
      <w:r>
        <w:rPr>
          <w:rFonts w:hint="eastAsia" w:ascii="仿宋_GB2312" w:hAnsi="sans-serif" w:eastAsia="仿宋_GB2312" w:cs="仿宋_GB2312"/>
          <w:i w:val="0"/>
          <w:iCs w:val="0"/>
          <w:caps w:val="0"/>
          <w:color w:val="000000"/>
          <w:spacing w:val="0"/>
          <w:sz w:val="31"/>
          <w:szCs w:val="31"/>
          <w:bdr w:val="none" w:color="auto" w:sz="0" w:space="0"/>
        </w:rPr>
        <w:t>本意见自发布之日起实施。《市场监管总局关于规范市场监督管理行政处罚裁量权的指导意见》（国市监法</w:t>
      </w:r>
      <w:r>
        <w:rPr>
          <w:rFonts w:ascii="新宋体" w:hAnsi="新宋体" w:eastAsia="新宋体" w:cs="新宋体"/>
          <w:i w:val="0"/>
          <w:iCs w:val="0"/>
          <w:caps w:val="0"/>
          <w:color w:val="000000"/>
          <w:spacing w:val="0"/>
          <w:sz w:val="31"/>
          <w:szCs w:val="31"/>
          <w:bdr w:val="none" w:color="auto" w:sz="0" w:space="0"/>
        </w:rPr>
        <w:t>〔</w:t>
      </w:r>
      <w:r>
        <w:rPr>
          <w:rFonts w:hint="default" w:ascii="sans-serif" w:hAnsi="sans-serif" w:eastAsia="sans-serif" w:cs="sans-serif"/>
          <w:i w:val="0"/>
          <w:iCs w:val="0"/>
          <w:caps w:val="0"/>
          <w:color w:val="000000"/>
          <w:spacing w:val="0"/>
          <w:sz w:val="31"/>
          <w:szCs w:val="31"/>
          <w:bdr w:val="none" w:color="auto" w:sz="0" w:space="0"/>
        </w:rPr>
        <w:t>2019</w:t>
      </w:r>
      <w:r>
        <w:rPr>
          <w:rFonts w:hint="eastAsia" w:ascii="新宋体" w:hAnsi="新宋体" w:eastAsia="新宋体" w:cs="新宋体"/>
          <w:i w:val="0"/>
          <w:iCs w:val="0"/>
          <w:caps w:val="0"/>
          <w:color w:val="000000"/>
          <w:spacing w:val="0"/>
          <w:sz w:val="31"/>
          <w:szCs w:val="31"/>
          <w:bdr w:val="none" w:color="auto" w:sz="0" w:space="0"/>
        </w:rPr>
        <w:t>〕</w:t>
      </w:r>
      <w:r>
        <w:rPr>
          <w:rFonts w:hint="default" w:ascii="sans-serif" w:hAnsi="sans-serif" w:eastAsia="sans-serif" w:cs="sans-serif"/>
          <w:i w:val="0"/>
          <w:iCs w:val="0"/>
          <w:caps w:val="0"/>
          <w:color w:val="000000"/>
          <w:spacing w:val="0"/>
          <w:sz w:val="31"/>
          <w:szCs w:val="31"/>
          <w:bdr w:val="none" w:color="auto" w:sz="0" w:space="0"/>
        </w:rPr>
        <w:t>244</w:t>
      </w:r>
      <w:r>
        <w:rPr>
          <w:rFonts w:hint="eastAsia" w:ascii="仿宋_GB2312" w:hAnsi="sans-serif" w:eastAsia="仿宋_GB2312" w:cs="仿宋_GB2312"/>
          <w:i w:val="0"/>
          <w:iCs w:val="0"/>
          <w:caps w:val="0"/>
          <w:color w:val="000000"/>
          <w:spacing w:val="0"/>
          <w:sz w:val="31"/>
          <w:szCs w:val="31"/>
          <w:bdr w:val="none" w:color="auto" w:sz="0" w:space="0"/>
        </w:rPr>
        <w:t>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45544F27"/>
    <w:rsid w:val="4554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2023-09-14T12:20:00Z</dcterms:created>
  <dc:creator>Administrator</dc:creator>
  <cp:lastModifiedBy>Administrator</cp:lastModifiedBy>
  <dcterms:modified xsi:type="dcterms:W3CDTF">2023-09-14T12:20:51Z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66E5FC3C495A46AE912BC862E1CD67EC_11</vt:lpwstr>
  </property>
</Properties>
</file>