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A2724">
      <w:pPr>
        <w:pStyle w:val="2"/>
        <w:bidi w:val="0"/>
        <w:jc w:val="center"/>
        <w:rPr>
          <w:color w:val="auto"/>
        </w:rPr>
      </w:pPr>
      <w:r>
        <w:rPr>
          <w:rFonts w:hint="eastAsia"/>
          <w:color w:val="auto"/>
          <w:lang w:eastAsia="zh-CN"/>
        </w:rPr>
        <w:t>林西</w:t>
      </w:r>
      <w:r>
        <w:rPr>
          <w:color w:val="auto"/>
        </w:rPr>
        <w:t>县</w:t>
      </w:r>
      <w:r>
        <w:rPr>
          <w:rFonts w:hint="eastAsia"/>
          <w:color w:val="auto"/>
        </w:rPr>
        <w:t>国有建设用地2025G-0</w:t>
      </w:r>
      <w:r>
        <w:rPr>
          <w:rFonts w:hint="eastAsia"/>
          <w:color w:val="auto"/>
          <w:lang w:val="en-US" w:eastAsia="zh-CN"/>
        </w:rPr>
        <w:t>21标</w:t>
      </w:r>
      <w:r>
        <w:rPr>
          <w:rFonts w:hint="eastAsia"/>
          <w:color w:val="auto"/>
        </w:rPr>
        <w:t>号</w:t>
      </w:r>
      <w:r>
        <w:rPr>
          <w:rFonts w:hint="eastAsia"/>
          <w:color w:val="auto"/>
          <w:lang w:val="en-US" w:eastAsia="zh-CN"/>
        </w:rPr>
        <w:t>宗地</w:t>
      </w:r>
      <w:r>
        <w:rPr>
          <w:color w:val="auto"/>
        </w:rPr>
        <w:t>网上挂牌出让公告</w:t>
      </w:r>
    </w:p>
    <w:p w14:paraId="0792E1B6">
      <w:pPr>
        <w:pStyle w:val="3"/>
        <w:bidi w:val="0"/>
        <w:rPr>
          <w:rFonts w:hint="default" w:eastAsia="黑体"/>
          <w:color w:val="auto"/>
          <w:lang w:val="en-US" w:eastAsia="zh-CN"/>
        </w:rPr>
      </w:pPr>
      <w:r>
        <w:rPr>
          <w:rFonts w:hint="eastAsia"/>
          <w:color w:val="auto"/>
        </w:rPr>
        <w:t>项目编号：</w:t>
      </w:r>
      <w:r>
        <w:rPr>
          <w:rFonts w:hint="eastAsia"/>
          <w:color w:val="auto"/>
          <w:lang w:eastAsia="zh-CN"/>
        </w:rPr>
        <w:t>202</w:t>
      </w:r>
      <w:r>
        <w:rPr>
          <w:rFonts w:hint="eastAsia"/>
          <w:color w:val="auto"/>
          <w:lang w:val="en-US" w:eastAsia="zh-CN"/>
        </w:rPr>
        <w:t>5</w:t>
      </w:r>
      <w:r>
        <w:rPr>
          <w:rFonts w:hint="eastAsia"/>
          <w:color w:val="auto"/>
          <w:lang w:eastAsia="zh-CN"/>
        </w:rPr>
        <w:t>LXTD0</w:t>
      </w:r>
      <w:r>
        <w:rPr>
          <w:rFonts w:hint="eastAsia"/>
          <w:color w:val="auto"/>
          <w:lang w:val="en-US" w:eastAsia="zh-CN"/>
        </w:rPr>
        <w:t>09</w:t>
      </w:r>
    </w:p>
    <w:p w14:paraId="2E12D8D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依据《中华人民共和国土地管理法》、《招标拍卖挂牌出让国有土地使用权规定》以及《招标拍卖挂牌出让国有土地使用权规范》等有关规定，经</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县人民政府批准，</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县自然资源局决定以网上挂牌方式出让国有建设用地2025G-0</w:t>
      </w:r>
      <w:r>
        <w:rPr>
          <w:rFonts w:hint="eastAsia" w:asciiTheme="minorEastAsia" w:hAnsiTheme="minorEastAsia" w:cstheme="minorEastAsia"/>
          <w:color w:val="auto"/>
          <w:sz w:val="30"/>
          <w:szCs w:val="30"/>
          <w:shd w:val="clear" w:fill="FFFFFF"/>
          <w:lang w:val="en-US" w:eastAsia="zh-CN"/>
        </w:rPr>
        <w:t>21标</w:t>
      </w:r>
      <w:r>
        <w:rPr>
          <w:rFonts w:hint="eastAsia" w:asciiTheme="minorEastAsia" w:hAnsiTheme="minorEastAsia" w:eastAsiaTheme="minorEastAsia" w:cstheme="minorEastAsia"/>
          <w:color w:val="auto"/>
          <w:sz w:val="30"/>
          <w:szCs w:val="30"/>
          <w:shd w:val="clear" w:fill="FFFFFF"/>
        </w:rPr>
        <w:t>号</w:t>
      </w:r>
      <w:r>
        <w:rPr>
          <w:rFonts w:hint="eastAsia" w:asciiTheme="minorEastAsia" w:hAnsiTheme="minorEastAsia" w:cstheme="minorEastAsia"/>
          <w:color w:val="auto"/>
          <w:sz w:val="30"/>
          <w:szCs w:val="30"/>
          <w:shd w:val="clear" w:fill="FFFFFF"/>
          <w:lang w:val="en-US" w:eastAsia="zh-CN"/>
        </w:rPr>
        <w:t>宗</w:t>
      </w:r>
      <w:r>
        <w:rPr>
          <w:rFonts w:hint="eastAsia" w:asciiTheme="minorEastAsia" w:hAnsiTheme="minorEastAsia" w:eastAsiaTheme="minorEastAsia" w:cstheme="minorEastAsia"/>
          <w:color w:val="auto"/>
          <w:sz w:val="30"/>
          <w:szCs w:val="30"/>
          <w:shd w:val="clear" w:fill="FFFFFF"/>
        </w:rPr>
        <w:t>国有建设用地使用权，并委托</w:t>
      </w: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县公共资源交易中心具体承办。现将有关事项公告如下：</w:t>
      </w:r>
    </w:p>
    <w:p w14:paraId="74E655E7">
      <w:pPr>
        <w:pStyle w:val="3"/>
        <w:numPr>
          <w:ilvl w:val="0"/>
          <w:numId w:val="1"/>
        </w:numPr>
        <w:bidi w:val="0"/>
        <w:rPr>
          <w:rFonts w:hint="eastAsia"/>
          <w:b/>
          <w:color w:val="auto"/>
        </w:rPr>
      </w:pPr>
      <w:r>
        <w:rPr>
          <w:rFonts w:hint="eastAsia"/>
          <w:b/>
          <w:color w:val="auto"/>
        </w:rPr>
        <w:t>网上挂牌出让国有建设用地使用权的基本情况和规划指标等要求</w:t>
      </w:r>
    </w:p>
    <w:tbl>
      <w:tblPr>
        <w:tblStyle w:val="10"/>
        <w:tblpPr w:leftFromText="180" w:rightFromText="180" w:vertAnchor="text" w:horzAnchor="page" w:tblpX="1332" w:tblpY="579"/>
        <w:tblOverlap w:val="never"/>
        <w:tblW w:w="51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44"/>
        <w:gridCol w:w="1518"/>
        <w:gridCol w:w="725"/>
        <w:gridCol w:w="500"/>
        <w:gridCol w:w="438"/>
        <w:gridCol w:w="572"/>
        <w:gridCol w:w="728"/>
        <w:gridCol w:w="510"/>
        <w:gridCol w:w="840"/>
        <w:gridCol w:w="625"/>
        <w:gridCol w:w="808"/>
        <w:gridCol w:w="388"/>
      </w:tblGrid>
      <w:tr w14:paraId="266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9" w:hRule="atLeast"/>
        </w:trPr>
        <w:tc>
          <w:tcPr>
            <w:tcW w:w="650" w:type="pct"/>
            <w:shd w:val="clear" w:color="auto" w:fill="auto"/>
            <w:tcMar>
              <w:left w:w="84" w:type="dxa"/>
              <w:right w:w="84" w:type="dxa"/>
            </w:tcMar>
            <w:vAlign w:val="center"/>
          </w:tcPr>
          <w:p w14:paraId="5D6C261E">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地</w:t>
            </w:r>
            <w:r>
              <w:rPr>
                <w:rFonts w:hint="eastAsia" w:asciiTheme="minorEastAsia" w:hAnsiTheme="minorEastAsia" w:eastAsiaTheme="minorEastAsia" w:cstheme="minorEastAsia"/>
                <w:color w:val="auto"/>
                <w:sz w:val="21"/>
                <w:szCs w:val="21"/>
              </w:rPr>
              <w:t>块名称</w:t>
            </w:r>
          </w:p>
        </w:tc>
        <w:tc>
          <w:tcPr>
            <w:tcW w:w="862" w:type="pct"/>
            <w:shd w:val="clear" w:color="auto" w:fill="auto"/>
            <w:tcMar>
              <w:left w:w="84" w:type="dxa"/>
              <w:right w:w="84" w:type="dxa"/>
            </w:tcMar>
            <w:vAlign w:val="center"/>
          </w:tcPr>
          <w:p w14:paraId="491C7871">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位置</w:t>
            </w:r>
          </w:p>
        </w:tc>
        <w:tc>
          <w:tcPr>
            <w:tcW w:w="412" w:type="pct"/>
            <w:shd w:val="clear" w:color="auto" w:fill="auto"/>
            <w:tcMar>
              <w:left w:w="84" w:type="dxa"/>
              <w:right w:w="84" w:type="dxa"/>
            </w:tcMar>
            <w:vAlign w:val="center"/>
          </w:tcPr>
          <w:p w14:paraId="60DF36B3">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出让用地面积（</w:t>
            </w:r>
            <w:r>
              <w:rPr>
                <w:rFonts w:hint="eastAsia" w:asciiTheme="minorEastAsia" w:hAnsiTheme="minorEastAsia" w:cstheme="minorEastAsia"/>
                <w:color w:val="auto"/>
                <w:sz w:val="21"/>
                <w:szCs w:val="21"/>
                <w:lang w:val="en-US" w:eastAsia="zh-CN"/>
              </w:rPr>
              <w:t>公顷</w:t>
            </w:r>
            <w:r>
              <w:rPr>
                <w:rFonts w:hint="eastAsia" w:asciiTheme="minorEastAsia" w:hAnsiTheme="minorEastAsia" w:eastAsiaTheme="minorEastAsia" w:cstheme="minorEastAsia"/>
                <w:color w:val="auto"/>
                <w:sz w:val="21"/>
                <w:szCs w:val="21"/>
              </w:rPr>
              <w:t>）</w:t>
            </w:r>
          </w:p>
        </w:tc>
        <w:tc>
          <w:tcPr>
            <w:tcW w:w="284" w:type="pct"/>
            <w:shd w:val="clear" w:color="auto" w:fill="auto"/>
            <w:tcMar>
              <w:left w:w="84" w:type="dxa"/>
              <w:right w:w="84" w:type="dxa"/>
            </w:tcMar>
            <w:vAlign w:val="center"/>
          </w:tcPr>
          <w:p w14:paraId="11B8A73C">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土地用途</w:t>
            </w:r>
          </w:p>
        </w:tc>
        <w:tc>
          <w:tcPr>
            <w:tcW w:w="248" w:type="pct"/>
            <w:shd w:val="clear" w:color="auto" w:fill="auto"/>
            <w:tcMar>
              <w:left w:w="84" w:type="dxa"/>
              <w:right w:w="84" w:type="dxa"/>
            </w:tcMar>
            <w:vAlign w:val="center"/>
          </w:tcPr>
          <w:p w14:paraId="6753A7B9">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出让年限</w:t>
            </w:r>
          </w:p>
        </w:tc>
        <w:tc>
          <w:tcPr>
            <w:tcW w:w="325" w:type="pct"/>
            <w:shd w:val="clear" w:color="auto" w:fill="auto"/>
            <w:tcMar>
              <w:left w:w="84" w:type="dxa"/>
              <w:right w:w="84" w:type="dxa"/>
            </w:tcMar>
            <w:vAlign w:val="center"/>
          </w:tcPr>
          <w:p w14:paraId="15AF14E3">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容</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积</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率</w:t>
            </w:r>
          </w:p>
        </w:tc>
        <w:tc>
          <w:tcPr>
            <w:tcW w:w="413" w:type="pct"/>
            <w:shd w:val="clear" w:color="auto" w:fill="auto"/>
            <w:tcMar>
              <w:left w:w="84" w:type="dxa"/>
              <w:right w:w="84" w:type="dxa"/>
            </w:tcMar>
            <w:vAlign w:val="center"/>
          </w:tcPr>
          <w:p w14:paraId="02D58318">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建筑密度</w:t>
            </w:r>
          </w:p>
        </w:tc>
        <w:tc>
          <w:tcPr>
            <w:tcW w:w="289" w:type="pct"/>
            <w:shd w:val="clear" w:color="auto" w:fill="auto"/>
            <w:tcMar>
              <w:left w:w="84" w:type="dxa"/>
              <w:right w:w="84" w:type="dxa"/>
            </w:tcMar>
            <w:vAlign w:val="center"/>
          </w:tcPr>
          <w:p w14:paraId="4EE7E588">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绿地率</w:t>
            </w:r>
          </w:p>
        </w:tc>
        <w:tc>
          <w:tcPr>
            <w:tcW w:w="477" w:type="pct"/>
            <w:shd w:val="clear" w:color="auto" w:fill="auto"/>
            <w:tcMar>
              <w:left w:w="84" w:type="dxa"/>
              <w:right w:w="84" w:type="dxa"/>
            </w:tcMar>
            <w:vAlign w:val="center"/>
          </w:tcPr>
          <w:p w14:paraId="7103FE9D">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建筑限高</w:t>
            </w:r>
          </w:p>
        </w:tc>
        <w:tc>
          <w:tcPr>
            <w:tcW w:w="355" w:type="pct"/>
            <w:shd w:val="clear" w:color="auto" w:fill="auto"/>
            <w:tcMar>
              <w:left w:w="84" w:type="dxa"/>
              <w:right w:w="84" w:type="dxa"/>
            </w:tcMar>
            <w:vAlign w:val="center"/>
          </w:tcPr>
          <w:p w14:paraId="1B018B9F">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挂牌起始价（万元）</w:t>
            </w:r>
          </w:p>
        </w:tc>
        <w:tc>
          <w:tcPr>
            <w:tcW w:w="459" w:type="pct"/>
            <w:shd w:val="clear" w:color="auto" w:fill="auto"/>
            <w:tcMar>
              <w:left w:w="84" w:type="dxa"/>
              <w:right w:w="84" w:type="dxa"/>
            </w:tcMar>
            <w:vAlign w:val="center"/>
          </w:tcPr>
          <w:p w14:paraId="01B16386">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保证金（万元）</w:t>
            </w:r>
          </w:p>
        </w:tc>
        <w:tc>
          <w:tcPr>
            <w:tcW w:w="220" w:type="pct"/>
            <w:shd w:val="clear" w:color="auto" w:fill="auto"/>
            <w:tcMar>
              <w:left w:w="84" w:type="dxa"/>
              <w:right w:w="84" w:type="dxa"/>
            </w:tcMar>
            <w:vAlign w:val="center"/>
          </w:tcPr>
          <w:p w14:paraId="61C4D6EE">
            <w:pPr>
              <w:pStyle w:val="9"/>
              <w:keepNext w:val="0"/>
              <w:keepLines w:val="0"/>
              <w:widowControl/>
              <w:suppressLineNumbers w:val="0"/>
              <w:spacing w:line="17"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竞价幅度（万元）</w:t>
            </w:r>
          </w:p>
        </w:tc>
      </w:tr>
      <w:tr w14:paraId="1592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2" w:hRule="atLeast"/>
        </w:trPr>
        <w:tc>
          <w:tcPr>
            <w:tcW w:w="650" w:type="pct"/>
            <w:shd w:val="clear" w:color="auto" w:fill="auto"/>
            <w:tcMar>
              <w:left w:w="84" w:type="dxa"/>
              <w:right w:w="84" w:type="dxa"/>
            </w:tcMar>
            <w:vAlign w:val="center"/>
          </w:tcPr>
          <w:p w14:paraId="5AF35405">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2025G-021标号</w:t>
            </w:r>
          </w:p>
        </w:tc>
        <w:tc>
          <w:tcPr>
            <w:tcW w:w="862" w:type="pct"/>
            <w:shd w:val="clear" w:color="auto" w:fill="auto"/>
            <w:tcMar>
              <w:left w:w="84" w:type="dxa"/>
              <w:right w:w="84" w:type="dxa"/>
            </w:tcMar>
            <w:vAlign w:val="center"/>
          </w:tcPr>
          <w:p w14:paraId="5AC78230">
            <w:pPr>
              <w:pStyle w:val="9"/>
              <w:keepNext w:val="0"/>
              <w:keepLines w:val="0"/>
              <w:widowControl/>
              <w:suppressLineNumbers w:val="0"/>
              <w:spacing w:line="17" w:lineRule="atLeast"/>
              <w:ind w:left="0" w:leftChars="0" w:right="0" w:rightChars="0"/>
              <w:jc w:val="cente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林西县工业园区鼎泰路西侧、久日公司南侧</w:t>
            </w:r>
          </w:p>
        </w:tc>
        <w:tc>
          <w:tcPr>
            <w:tcW w:w="412" w:type="pct"/>
            <w:shd w:val="clear" w:color="auto" w:fill="auto"/>
            <w:tcMar>
              <w:left w:w="84" w:type="dxa"/>
              <w:right w:w="84" w:type="dxa"/>
            </w:tcMar>
            <w:vAlign w:val="center"/>
          </w:tcPr>
          <w:p w14:paraId="72D1680B">
            <w:pPr>
              <w:pStyle w:val="9"/>
              <w:keepNext w:val="0"/>
              <w:keepLines w:val="0"/>
              <w:widowControl/>
              <w:suppressLineNumbers w:val="0"/>
              <w:spacing w:line="17" w:lineRule="atLeast"/>
              <w:ind w:left="0" w:leftChars="0" w:right="0" w:rightChars="0"/>
              <w:jc w:val="center"/>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3.3333</w:t>
            </w:r>
          </w:p>
        </w:tc>
        <w:tc>
          <w:tcPr>
            <w:tcW w:w="284" w:type="pct"/>
            <w:shd w:val="clear" w:color="auto" w:fill="auto"/>
            <w:tcMar>
              <w:left w:w="84" w:type="dxa"/>
              <w:right w:w="84" w:type="dxa"/>
            </w:tcMar>
            <w:vAlign w:val="center"/>
          </w:tcPr>
          <w:p w14:paraId="26DA9DBD">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工业用地</w:t>
            </w:r>
          </w:p>
        </w:tc>
        <w:tc>
          <w:tcPr>
            <w:tcW w:w="248" w:type="pct"/>
            <w:shd w:val="clear" w:color="auto" w:fill="auto"/>
            <w:tcMar>
              <w:left w:w="84" w:type="dxa"/>
              <w:right w:w="84" w:type="dxa"/>
            </w:tcMar>
            <w:vAlign w:val="center"/>
          </w:tcPr>
          <w:p w14:paraId="3EC244D9">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50年</w:t>
            </w:r>
          </w:p>
        </w:tc>
        <w:tc>
          <w:tcPr>
            <w:tcW w:w="325" w:type="pct"/>
            <w:shd w:val="clear" w:color="auto" w:fill="auto"/>
            <w:tcMar>
              <w:left w:w="84" w:type="dxa"/>
              <w:right w:w="84" w:type="dxa"/>
            </w:tcMar>
            <w:vAlign w:val="center"/>
          </w:tcPr>
          <w:p w14:paraId="28EC562A">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≥0.6</w:t>
            </w:r>
          </w:p>
        </w:tc>
        <w:tc>
          <w:tcPr>
            <w:tcW w:w="413" w:type="pct"/>
            <w:shd w:val="clear" w:color="auto" w:fill="auto"/>
            <w:tcMar>
              <w:left w:w="84" w:type="dxa"/>
              <w:right w:w="84" w:type="dxa"/>
            </w:tcMar>
            <w:vAlign w:val="center"/>
          </w:tcPr>
          <w:p w14:paraId="4A66F19A">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≥30％</w:t>
            </w:r>
          </w:p>
        </w:tc>
        <w:tc>
          <w:tcPr>
            <w:tcW w:w="289" w:type="pct"/>
            <w:shd w:val="clear" w:color="auto" w:fill="auto"/>
            <w:tcMar>
              <w:left w:w="84" w:type="dxa"/>
              <w:right w:w="84" w:type="dxa"/>
            </w:tcMar>
            <w:vAlign w:val="center"/>
          </w:tcPr>
          <w:p w14:paraId="6BCA3E8C">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≤20%</w:t>
            </w:r>
          </w:p>
        </w:tc>
        <w:tc>
          <w:tcPr>
            <w:tcW w:w="477" w:type="pct"/>
            <w:shd w:val="clear" w:color="auto" w:fill="auto"/>
            <w:tcMar>
              <w:left w:w="84" w:type="dxa"/>
              <w:right w:w="84" w:type="dxa"/>
            </w:tcMar>
            <w:vAlign w:val="center"/>
          </w:tcPr>
          <w:p w14:paraId="6A683E46">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根据审定的修建性详细规划方案确定</w:t>
            </w:r>
          </w:p>
        </w:tc>
        <w:tc>
          <w:tcPr>
            <w:tcW w:w="355" w:type="pct"/>
            <w:shd w:val="clear" w:color="auto" w:fill="auto"/>
            <w:tcMar>
              <w:left w:w="84" w:type="dxa"/>
              <w:right w:w="84" w:type="dxa"/>
            </w:tcMar>
            <w:vAlign w:val="center"/>
          </w:tcPr>
          <w:p w14:paraId="0BB58DF4">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279.9972</w:t>
            </w:r>
          </w:p>
        </w:tc>
        <w:tc>
          <w:tcPr>
            <w:tcW w:w="459" w:type="pct"/>
            <w:shd w:val="clear" w:color="auto" w:fill="auto"/>
            <w:tcMar>
              <w:left w:w="84" w:type="dxa"/>
              <w:right w:w="84" w:type="dxa"/>
            </w:tcMar>
            <w:vAlign w:val="center"/>
          </w:tcPr>
          <w:p w14:paraId="2E2289C1">
            <w:pPr>
              <w:pStyle w:val="9"/>
              <w:keepNext w:val="0"/>
              <w:keepLines w:val="0"/>
              <w:widowControl/>
              <w:suppressLineNumbers w:val="0"/>
              <w:spacing w:line="17" w:lineRule="atLeast"/>
              <w:ind w:left="0" w:leftChars="0" w:right="0" w:rightChars="0"/>
              <w:jc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279.9972</w:t>
            </w:r>
          </w:p>
        </w:tc>
        <w:tc>
          <w:tcPr>
            <w:tcW w:w="220" w:type="pct"/>
            <w:shd w:val="clear" w:color="auto" w:fill="auto"/>
            <w:tcMar>
              <w:left w:w="84" w:type="dxa"/>
              <w:right w:w="84" w:type="dxa"/>
            </w:tcMar>
            <w:vAlign w:val="center"/>
          </w:tcPr>
          <w:p w14:paraId="56BA22EB">
            <w:pPr>
              <w:pStyle w:val="9"/>
              <w:keepNext w:val="0"/>
              <w:keepLines w:val="0"/>
              <w:widowControl/>
              <w:suppressLineNumbers w:val="0"/>
              <w:spacing w:line="17" w:lineRule="atLeast"/>
              <w:ind w:left="0" w:leftChars="0" w:right="0" w:rightChars="0"/>
              <w:jc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1或1的倍数</w:t>
            </w:r>
          </w:p>
        </w:tc>
      </w:tr>
      <w:tr w14:paraId="1250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5000" w:type="pct"/>
            <w:gridSpan w:val="12"/>
            <w:shd w:val="clear" w:color="auto" w:fill="auto"/>
            <w:tcMar>
              <w:left w:w="84" w:type="dxa"/>
              <w:right w:w="84" w:type="dxa"/>
            </w:tcMar>
            <w:vAlign w:val="center"/>
          </w:tcPr>
          <w:p w14:paraId="6621F15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特别说明：</w:t>
            </w:r>
            <w:r>
              <w:rPr>
                <w:rFonts w:hint="eastAsia" w:asciiTheme="minorEastAsia" w:hAnsiTheme="minorEastAsia" w:cstheme="minorEastAsia"/>
                <w:color w:val="auto"/>
                <w:sz w:val="30"/>
                <w:szCs w:val="30"/>
                <w:shd w:val="clear" w:fill="FFFFFF"/>
                <w:lang w:val="en-US" w:eastAsia="zh-CN"/>
              </w:rPr>
              <w:t>1、</w:t>
            </w:r>
            <w:r>
              <w:rPr>
                <w:rFonts w:hint="eastAsia" w:asciiTheme="minorEastAsia" w:hAnsiTheme="minorEastAsia" w:eastAsiaTheme="minorEastAsia" w:cstheme="minorEastAsia"/>
                <w:color w:val="auto"/>
                <w:sz w:val="30"/>
                <w:szCs w:val="30"/>
                <w:shd w:val="clear" w:fill="FFFFFF"/>
                <w:lang w:val="en-US" w:eastAsia="zh-CN"/>
              </w:rPr>
              <w:t>赤峰林西工业园区管理办公室根据县政府统一安排，对202</w:t>
            </w:r>
            <w:r>
              <w:rPr>
                <w:rFonts w:hint="eastAsia" w:asciiTheme="minorEastAsia" w:hAnsiTheme="minorEastAsia" w:cstheme="minorEastAsia"/>
                <w:color w:val="auto"/>
                <w:sz w:val="30"/>
                <w:szCs w:val="30"/>
                <w:shd w:val="clear" w:fill="FFFFFF"/>
                <w:lang w:val="en-US" w:eastAsia="zh-CN"/>
              </w:rPr>
              <w:t>4</w:t>
            </w:r>
            <w:r>
              <w:rPr>
                <w:rFonts w:hint="eastAsia" w:asciiTheme="minorEastAsia" w:hAnsiTheme="minorEastAsia" w:eastAsiaTheme="minorEastAsia" w:cstheme="minorEastAsia"/>
                <w:color w:val="auto"/>
                <w:sz w:val="30"/>
                <w:szCs w:val="30"/>
                <w:shd w:val="clear" w:fill="FFFFFF"/>
                <w:lang w:val="en-US" w:eastAsia="zh-CN"/>
              </w:rPr>
              <w:t>G-0</w:t>
            </w:r>
            <w:r>
              <w:rPr>
                <w:rFonts w:hint="eastAsia" w:asciiTheme="minorEastAsia" w:hAnsiTheme="minorEastAsia" w:cstheme="minorEastAsia"/>
                <w:color w:val="auto"/>
                <w:sz w:val="30"/>
                <w:szCs w:val="30"/>
                <w:shd w:val="clear" w:fill="FFFFFF"/>
                <w:lang w:val="en-US" w:eastAsia="zh-CN"/>
              </w:rPr>
              <w:t>21</w:t>
            </w:r>
            <w:r>
              <w:rPr>
                <w:rFonts w:hint="eastAsia" w:asciiTheme="minorEastAsia" w:hAnsiTheme="minorEastAsia" w:eastAsiaTheme="minorEastAsia" w:cstheme="minorEastAsia"/>
                <w:color w:val="auto"/>
                <w:sz w:val="30"/>
                <w:szCs w:val="30"/>
                <w:shd w:val="clear" w:fill="FFFFFF"/>
                <w:lang w:val="en-US" w:eastAsia="zh-CN"/>
              </w:rPr>
              <w:t>标地块申请工业用地“标准地”招拍挂工作，区域评估已完成，行业类型为化工类，出让年期为</w:t>
            </w:r>
            <w:r>
              <w:rPr>
                <w:rFonts w:hint="eastAsia" w:asciiTheme="minorEastAsia" w:hAnsiTheme="minorEastAsia" w:cstheme="minorEastAsia"/>
                <w:color w:val="auto"/>
                <w:sz w:val="30"/>
                <w:szCs w:val="30"/>
                <w:shd w:val="clear" w:fill="FFFFFF"/>
                <w:lang w:val="en-US" w:eastAsia="zh-CN"/>
              </w:rPr>
              <w:t>5</w:t>
            </w:r>
            <w:r>
              <w:rPr>
                <w:rFonts w:hint="eastAsia" w:asciiTheme="minorEastAsia" w:hAnsiTheme="minorEastAsia" w:eastAsiaTheme="minorEastAsia" w:cstheme="minorEastAsia"/>
                <w:color w:val="auto"/>
                <w:sz w:val="30"/>
                <w:szCs w:val="30"/>
                <w:shd w:val="clear" w:fill="FFFFFF"/>
                <w:lang w:val="en-US" w:eastAsia="zh-CN"/>
              </w:rPr>
              <w:t>0年，固定资产投资强度大于等于人民币</w:t>
            </w:r>
            <w:r>
              <w:rPr>
                <w:rFonts w:hint="eastAsia" w:asciiTheme="minorEastAsia" w:hAnsiTheme="minorEastAsia" w:cstheme="minorEastAsia"/>
                <w:color w:val="auto"/>
                <w:sz w:val="30"/>
                <w:szCs w:val="30"/>
                <w:shd w:val="clear" w:fill="FFFFFF"/>
                <w:lang w:val="en-US" w:eastAsia="zh-CN"/>
              </w:rPr>
              <w:t>200</w:t>
            </w:r>
            <w:r>
              <w:rPr>
                <w:rFonts w:hint="eastAsia" w:asciiTheme="minorEastAsia" w:hAnsiTheme="minorEastAsia" w:eastAsiaTheme="minorEastAsia" w:cstheme="minorEastAsia"/>
                <w:color w:val="auto"/>
                <w:sz w:val="30"/>
                <w:szCs w:val="30"/>
                <w:shd w:val="clear" w:fill="FFFFFF"/>
                <w:lang w:val="en-US" w:eastAsia="zh-CN"/>
              </w:rPr>
              <w:t>万元/亩，建筑容积率大于等于</w:t>
            </w:r>
            <w:r>
              <w:rPr>
                <w:rFonts w:hint="eastAsia" w:asciiTheme="minorEastAsia" w:hAnsiTheme="minorEastAsia" w:cstheme="minorEastAsia"/>
                <w:color w:val="auto"/>
                <w:sz w:val="30"/>
                <w:szCs w:val="30"/>
                <w:shd w:val="clear" w:fill="FFFFFF"/>
                <w:lang w:val="en-US" w:eastAsia="zh-CN"/>
              </w:rPr>
              <w:t>0.6</w:t>
            </w:r>
            <w:r>
              <w:rPr>
                <w:rFonts w:hint="eastAsia" w:asciiTheme="minorEastAsia" w:hAnsiTheme="minorEastAsia" w:eastAsiaTheme="minorEastAsia" w:cstheme="minorEastAsia"/>
                <w:color w:val="auto"/>
                <w:sz w:val="30"/>
                <w:szCs w:val="30"/>
                <w:shd w:val="clear" w:fill="FFFFFF"/>
                <w:lang w:val="en-US" w:eastAsia="zh-CN"/>
              </w:rPr>
              <w:t>，项目达产后亩均税收大于等于人民币</w:t>
            </w:r>
            <w:r>
              <w:rPr>
                <w:rFonts w:hint="eastAsia" w:asciiTheme="minorEastAsia" w:hAnsiTheme="minorEastAsia" w:cstheme="minorEastAsia"/>
                <w:color w:val="auto"/>
                <w:sz w:val="30"/>
                <w:szCs w:val="30"/>
                <w:shd w:val="clear" w:fill="FFFFFF"/>
                <w:lang w:val="en-US" w:eastAsia="zh-CN"/>
              </w:rPr>
              <w:t>5</w:t>
            </w:r>
            <w:r>
              <w:rPr>
                <w:rFonts w:hint="eastAsia" w:asciiTheme="minorEastAsia" w:hAnsiTheme="minorEastAsia" w:eastAsiaTheme="minorEastAsia" w:cstheme="minorEastAsia"/>
                <w:color w:val="auto"/>
                <w:sz w:val="30"/>
                <w:szCs w:val="30"/>
                <w:shd w:val="clear" w:fill="FFFFFF"/>
                <w:lang w:val="en-US" w:eastAsia="zh-CN"/>
              </w:rPr>
              <w:t>万元/亩，项目达产后亩均产值大于等于人民币</w:t>
            </w:r>
            <w:r>
              <w:rPr>
                <w:rFonts w:hint="eastAsia" w:asciiTheme="minorEastAsia" w:hAnsiTheme="minorEastAsia" w:cstheme="minorEastAsia"/>
                <w:color w:val="auto"/>
                <w:sz w:val="30"/>
                <w:szCs w:val="30"/>
                <w:shd w:val="clear" w:fill="FFFFFF"/>
                <w:lang w:val="en-US" w:eastAsia="zh-CN"/>
              </w:rPr>
              <w:t>100</w:t>
            </w:r>
            <w:r>
              <w:rPr>
                <w:rFonts w:hint="eastAsia" w:asciiTheme="minorEastAsia" w:hAnsiTheme="minorEastAsia" w:eastAsiaTheme="minorEastAsia" w:cstheme="minorEastAsia"/>
                <w:color w:val="auto"/>
                <w:sz w:val="30"/>
                <w:szCs w:val="30"/>
                <w:shd w:val="clear" w:fill="FFFFFF"/>
                <w:lang w:val="en-US" w:eastAsia="zh-CN"/>
              </w:rPr>
              <w:t>万元/亩</w:t>
            </w:r>
            <w:r>
              <w:rPr>
                <w:rFonts w:hint="eastAsia" w:asciiTheme="minorEastAsia" w:hAnsiTheme="minorEastAsia" w:cstheme="minorEastAsia"/>
                <w:color w:val="auto"/>
                <w:sz w:val="30"/>
                <w:szCs w:val="30"/>
                <w:shd w:val="clear" w:fill="FFFFFF"/>
                <w:lang w:val="en-US" w:eastAsia="zh-CN"/>
              </w:rPr>
              <w:t>。</w:t>
            </w:r>
          </w:p>
          <w:p w14:paraId="0E3A654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竞得企业在签订成交确认书后5</w:t>
            </w:r>
            <w:r>
              <w:rPr>
                <w:rFonts w:hint="eastAsia" w:asciiTheme="minorEastAsia" w:hAnsiTheme="minorEastAsia" w:cstheme="minorEastAsia"/>
                <w:color w:val="auto"/>
                <w:sz w:val="30"/>
                <w:szCs w:val="30"/>
                <w:shd w:val="clear" w:fill="FFFFFF"/>
                <w:lang w:val="en-US" w:eastAsia="zh-CN"/>
              </w:rPr>
              <w:t>个工作日内</w:t>
            </w:r>
            <w:r>
              <w:rPr>
                <w:rFonts w:hint="eastAsia" w:asciiTheme="minorEastAsia" w:hAnsiTheme="minorEastAsia" w:eastAsiaTheme="minorEastAsia" w:cstheme="minorEastAsia"/>
                <w:color w:val="auto"/>
                <w:sz w:val="30"/>
                <w:szCs w:val="30"/>
                <w:shd w:val="clear" w:fill="FFFFFF"/>
                <w:lang w:val="en-US" w:eastAsia="zh-CN"/>
              </w:rPr>
              <w:t>内须与赤峰林西工业园区管理办公室签订《赤峰林西工业园区管理办公室工业项目“标准地”投资建设协议》</w:t>
            </w:r>
            <w:r>
              <w:rPr>
                <w:rFonts w:hint="eastAsia" w:asciiTheme="minorEastAsia" w:hAnsiTheme="minorEastAsia" w:cstheme="minorEastAsia"/>
                <w:color w:val="auto"/>
                <w:sz w:val="30"/>
                <w:szCs w:val="30"/>
                <w:shd w:val="clear" w:fill="FFFFFF"/>
                <w:lang w:val="en-US" w:eastAsia="zh-CN"/>
              </w:rPr>
              <w:t>。</w:t>
            </w:r>
          </w:p>
          <w:p w14:paraId="0878B25A">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cstheme="minorEastAsia"/>
                <w:color w:val="auto"/>
                <w:sz w:val="30"/>
                <w:szCs w:val="30"/>
                <w:shd w:val="clear" w:fill="FFFFFF"/>
                <w:lang w:val="en-US" w:eastAsia="zh-CN"/>
              </w:rPr>
            </w:pPr>
            <w:r>
              <w:rPr>
                <w:rFonts w:hint="eastAsia" w:asciiTheme="minorEastAsia" w:hAnsiTheme="minorEastAsia" w:cstheme="minorEastAsia"/>
                <w:color w:val="auto"/>
                <w:sz w:val="30"/>
                <w:szCs w:val="30"/>
                <w:shd w:val="clear" w:fill="FFFFFF"/>
                <w:lang w:val="en-US" w:eastAsia="zh-CN"/>
              </w:rPr>
              <w:t>2、竟得人不得建设“两高一资”类和属于《限制用地项目目录》、《禁止用地项目目录》的工业企业。</w:t>
            </w:r>
          </w:p>
        </w:tc>
      </w:tr>
    </w:tbl>
    <w:p w14:paraId="688F4FAF">
      <w:pPr>
        <w:rPr>
          <w:rFonts w:hint="eastAsia" w:eastAsiaTheme="minorEastAsia"/>
          <w:b/>
          <w:color w:val="auto"/>
          <w:lang w:eastAsia="zh-CN"/>
        </w:rPr>
      </w:pPr>
    </w:p>
    <w:p w14:paraId="26D4C89D">
      <w:pPr>
        <w:pStyle w:val="3"/>
        <w:bidi w:val="0"/>
        <w:rPr>
          <w:rFonts w:hint="eastAsia"/>
          <w:b/>
          <w:color w:val="auto"/>
        </w:rPr>
      </w:pPr>
      <w:r>
        <w:rPr>
          <w:rFonts w:hint="eastAsia"/>
          <w:b/>
          <w:color w:val="auto"/>
        </w:rPr>
        <w:t> 二、挂牌出让方式</w:t>
      </w:r>
    </w:p>
    <w:p w14:paraId="3396CF12">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21"/>
          <w:szCs w:val="21"/>
          <w:shd w:val="clear" w:fill="FFFFFF"/>
        </w:rPr>
      </w:pPr>
      <w:r>
        <w:rPr>
          <w:rFonts w:hint="eastAsia" w:asciiTheme="minorEastAsia" w:hAnsiTheme="minorEastAsia" w:eastAsiaTheme="minorEastAsia" w:cstheme="minorEastAsia"/>
          <w:color w:val="auto"/>
          <w:sz w:val="30"/>
          <w:szCs w:val="30"/>
          <w:shd w:val="clear" w:fill="FFFFFF"/>
        </w:rPr>
        <w:t>本次国有建设用地使用权挂牌出让在互联网上交易，即通过内蒙古自治区自然资源网上交易系统（以下简称交易系统）（http://219.159.12.165:8090/trade-engine/trade/index）进行。</w:t>
      </w:r>
    </w:p>
    <w:p w14:paraId="6717589C">
      <w:pPr>
        <w:pStyle w:val="3"/>
        <w:bidi w:val="0"/>
        <w:rPr>
          <w:rFonts w:hint="eastAsia"/>
          <w:b/>
          <w:color w:val="auto"/>
        </w:rPr>
      </w:pPr>
      <w:r>
        <w:rPr>
          <w:rFonts w:hint="eastAsia"/>
          <w:b/>
          <w:color w:val="auto"/>
        </w:rPr>
        <w:t>三、时间安排</w:t>
      </w:r>
    </w:p>
    <w:p w14:paraId="4D04BEA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highlight w:val="none"/>
          <w:shd w:val="clear" w:fill="FFFFFF"/>
          <w:lang w:val="en-US" w:eastAsia="zh-CN"/>
        </w:rPr>
      </w:pPr>
      <w:r>
        <w:rPr>
          <w:rFonts w:hint="eastAsia" w:asciiTheme="minorEastAsia" w:hAnsiTheme="minorEastAsia" w:eastAsiaTheme="minorEastAsia" w:cstheme="minorEastAsia"/>
          <w:color w:val="auto"/>
          <w:sz w:val="30"/>
          <w:szCs w:val="30"/>
          <w:shd w:val="clear" w:fill="FFFFFF"/>
        </w:rPr>
        <w:t>本次挂牌出让时间为日历日。</w:t>
      </w:r>
    </w:p>
    <w:p w14:paraId="300FE205">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1</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公告时间：202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rPr>
        <w:t>日上午9:30时起至202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rPr>
        <w:t>日上午9:30时止。</w:t>
      </w:r>
    </w:p>
    <w:p w14:paraId="5255761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2</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报名时间：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lang w:eastAsia="zh-CN"/>
        </w:rPr>
        <w:t>日上午9:30时</w:t>
      </w:r>
      <w:r>
        <w:rPr>
          <w:rFonts w:hint="eastAsia" w:asciiTheme="minorEastAsia" w:hAnsiTheme="minorEastAsia" w:eastAsiaTheme="minorEastAsia" w:cstheme="minorEastAsia"/>
          <w:color w:val="auto"/>
          <w:sz w:val="30"/>
          <w:szCs w:val="30"/>
          <w:highlight w:val="none"/>
          <w:shd w:val="clear" w:fill="FFFFFF"/>
        </w:rPr>
        <w:t>起至</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23BF394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3</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保证金到账截止时间：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7590595B">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网上挂牌时间为：202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15</w:t>
      </w:r>
      <w:r>
        <w:rPr>
          <w:rFonts w:hint="eastAsia" w:asciiTheme="minorEastAsia" w:hAnsiTheme="minorEastAsia" w:eastAsiaTheme="minorEastAsia" w:cstheme="minorEastAsia"/>
          <w:color w:val="auto"/>
          <w:sz w:val="30"/>
          <w:szCs w:val="30"/>
          <w:highlight w:val="none"/>
          <w:shd w:val="clear" w:fill="FFFFFF"/>
        </w:rPr>
        <w:t>日上午9:</w:t>
      </w:r>
      <w:r>
        <w:rPr>
          <w:rFonts w:hint="eastAsia" w:asciiTheme="minorEastAsia" w:hAnsiTheme="minorEastAsia" w:cstheme="minorEastAsia"/>
          <w:color w:val="auto"/>
          <w:sz w:val="30"/>
          <w:szCs w:val="30"/>
          <w:highlight w:val="none"/>
          <w:shd w:val="clear" w:fill="FFFFFF"/>
          <w:lang w:val="en-US" w:eastAsia="zh-CN"/>
        </w:rPr>
        <w:t>00</w:t>
      </w:r>
      <w:r>
        <w:rPr>
          <w:rFonts w:hint="eastAsia" w:asciiTheme="minorEastAsia" w:hAnsiTheme="minorEastAsia" w:eastAsiaTheme="minorEastAsia" w:cstheme="minorEastAsia"/>
          <w:color w:val="auto"/>
          <w:sz w:val="30"/>
          <w:szCs w:val="30"/>
          <w:highlight w:val="none"/>
          <w:shd w:val="clear" w:fill="FFFFFF"/>
        </w:rPr>
        <w:t>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rPr>
        <w:t>日上午1</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eastAsiaTheme="minorEastAsia" w:cstheme="minorEastAsia"/>
          <w:color w:val="auto"/>
          <w:sz w:val="30"/>
          <w:szCs w:val="30"/>
          <w:highlight w:val="none"/>
          <w:shd w:val="clear" w:fill="FFFFFF"/>
        </w:rPr>
        <w:t>:</w:t>
      </w:r>
      <w:r>
        <w:rPr>
          <w:rFonts w:hint="eastAsia" w:asciiTheme="minorEastAsia" w:hAnsiTheme="minorEastAsia" w:cstheme="minorEastAsia"/>
          <w:color w:val="auto"/>
          <w:sz w:val="30"/>
          <w:szCs w:val="30"/>
          <w:highlight w:val="none"/>
          <w:shd w:val="clear" w:fill="FFFFFF"/>
          <w:lang w:val="en-US" w:eastAsia="zh-CN"/>
        </w:rPr>
        <w:t>0</w:t>
      </w:r>
      <w:r>
        <w:rPr>
          <w:rFonts w:hint="eastAsia" w:asciiTheme="minorEastAsia" w:hAnsiTheme="minorEastAsia" w:eastAsiaTheme="minorEastAsia" w:cstheme="minorEastAsia"/>
          <w:color w:val="auto"/>
          <w:sz w:val="30"/>
          <w:szCs w:val="30"/>
          <w:highlight w:val="none"/>
          <w:shd w:val="clear" w:fill="FFFFFF"/>
        </w:rPr>
        <w:t>0时止。</w:t>
      </w:r>
    </w:p>
    <w:p w14:paraId="5689A79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highlight w:val="none"/>
          <w:shd w:val="clear" w:fill="FFFFFF"/>
        </w:rPr>
        <w:t>挂牌期间，遇节假日不停止网</w:t>
      </w:r>
      <w:r>
        <w:rPr>
          <w:rFonts w:hint="eastAsia" w:asciiTheme="minorEastAsia" w:hAnsiTheme="minorEastAsia" w:eastAsiaTheme="minorEastAsia" w:cstheme="minorEastAsia"/>
          <w:b/>
          <w:bCs/>
          <w:color w:val="auto"/>
          <w:sz w:val="30"/>
          <w:szCs w:val="30"/>
          <w:shd w:val="clear" w:fill="FFFFFF"/>
        </w:rPr>
        <w:t>上挂牌出让活动。</w:t>
      </w:r>
    </w:p>
    <w:p w14:paraId="6F62B064">
      <w:pPr>
        <w:pStyle w:val="3"/>
        <w:bidi w:val="0"/>
        <w:rPr>
          <w:rFonts w:hint="eastAsia"/>
          <w:b/>
          <w:color w:val="auto"/>
        </w:rPr>
      </w:pPr>
      <w:r>
        <w:rPr>
          <w:rFonts w:hint="eastAsia"/>
          <w:b/>
          <w:color w:val="auto"/>
          <w:lang w:eastAsia="zh-CN"/>
        </w:rPr>
        <w:t>四、</w:t>
      </w:r>
      <w:r>
        <w:rPr>
          <w:rFonts w:hint="eastAsia"/>
          <w:b/>
          <w:color w:val="auto"/>
        </w:rPr>
        <w:t>保证金账户</w:t>
      </w:r>
    </w:p>
    <w:p w14:paraId="763292F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竞买保证金账号由系统随机生成，竞买人在规定时间内足额缴纳至指定账户（以银行到账时间为准），交易系统自动颁发《竞买资格确认书》，该确认书作为竞买人参与竞买的有效凭证。（保证金的具体缴纳方法请参阅《保证金缴纳指南》，请在首页的菜单栏“资料下载”中下载相关银行对应的《保证金缴纳指南》，并按照《保证金缴纳指南》相关要求缴纳保证金。</w:t>
      </w:r>
    </w:p>
    <w:p w14:paraId="7822545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银行账户</w:t>
      </w:r>
    </w:p>
    <w:p w14:paraId="32CFFBA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1、开户行：中国农业银行林西县支行兴林分理处</w:t>
      </w:r>
    </w:p>
    <w:p w14:paraId="020C656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1FEBCE8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44D5CDD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号：103194427122</w:t>
      </w:r>
    </w:p>
    <w:p w14:paraId="0EA66D40">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2、开户行：中国银行股份有限公司赤峰市林西县支行</w:t>
      </w:r>
    </w:p>
    <w:p w14:paraId="305DD98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43C19FB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73F7DCE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w:t>
      </w:r>
      <w:r>
        <w:rPr>
          <w:rFonts w:hint="eastAsia" w:asciiTheme="minorEastAsia" w:hAnsiTheme="minorEastAsia" w:eastAsiaTheme="minorEastAsia" w:cstheme="minorEastAsia"/>
          <w:color w:val="auto"/>
          <w:sz w:val="30"/>
          <w:szCs w:val="30"/>
          <w:shd w:val="clear" w:fill="FFFFFF"/>
          <w:lang w:val="en-US" w:eastAsia="zh-CN"/>
        </w:rPr>
        <w:t>104194403016</w:t>
      </w:r>
    </w:p>
    <w:p w14:paraId="58503DD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rPr>
        <w:t>3、开户行：中国工商银行林西县支行</w:t>
      </w:r>
    </w:p>
    <w:p w14:paraId="3683BF0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57155BC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7693EB4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rPr>
        <w:t>行  号：</w:t>
      </w:r>
      <w:r>
        <w:rPr>
          <w:rFonts w:hint="eastAsia" w:asciiTheme="minorEastAsia" w:hAnsiTheme="minorEastAsia" w:eastAsiaTheme="minorEastAsia" w:cstheme="minorEastAsia"/>
          <w:color w:val="auto"/>
          <w:sz w:val="30"/>
          <w:szCs w:val="30"/>
          <w:shd w:val="clear" w:fill="FFFFFF"/>
          <w:lang w:val="en-US" w:eastAsia="zh-CN"/>
        </w:rPr>
        <w:t>102194400011</w:t>
      </w:r>
    </w:p>
    <w:p w14:paraId="5648FE5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b/>
          <w:bCs/>
          <w:color w:val="auto"/>
          <w:sz w:val="30"/>
          <w:szCs w:val="30"/>
          <w:shd w:val="clear" w:fill="FFFFFF"/>
        </w:rPr>
      </w:pPr>
      <w:r>
        <w:rPr>
          <w:rFonts w:hint="eastAsia" w:asciiTheme="minorEastAsia" w:hAnsiTheme="minorEastAsia" w:eastAsiaTheme="minorEastAsia" w:cstheme="minorEastAsia"/>
          <w:b/>
          <w:bCs/>
          <w:color w:val="auto"/>
          <w:sz w:val="30"/>
          <w:szCs w:val="30"/>
          <w:shd w:val="clear" w:fill="FFFFFF"/>
          <w:lang w:val="en-US" w:eastAsia="zh-CN"/>
        </w:rPr>
        <w:t>4</w:t>
      </w:r>
      <w:r>
        <w:rPr>
          <w:rFonts w:hint="eastAsia" w:asciiTheme="minorEastAsia" w:hAnsiTheme="minorEastAsia" w:eastAsiaTheme="minorEastAsia" w:cstheme="minorEastAsia"/>
          <w:b/>
          <w:bCs/>
          <w:color w:val="auto"/>
          <w:sz w:val="30"/>
          <w:szCs w:val="30"/>
          <w:shd w:val="clear" w:fill="FFFFFF"/>
        </w:rPr>
        <w:t>、开户行：中国建设银行林西县支行</w:t>
      </w:r>
    </w:p>
    <w:p w14:paraId="2C03098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账户名称：林西县公共资源交易中心</w:t>
      </w:r>
    </w:p>
    <w:p w14:paraId="054C1FF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账  号：系统自动生成</w:t>
      </w:r>
    </w:p>
    <w:p w14:paraId="12554D28">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rPr>
        <w:t>行  号：105194400016</w:t>
      </w:r>
    </w:p>
    <w:p w14:paraId="28B56681">
      <w:pPr>
        <w:pStyle w:val="3"/>
        <w:bidi w:val="0"/>
        <w:rPr>
          <w:rFonts w:hint="eastAsia"/>
          <w:b/>
          <w:color w:val="auto"/>
          <w:lang w:eastAsia="zh-CN"/>
        </w:rPr>
      </w:pPr>
      <w:r>
        <w:rPr>
          <w:rFonts w:hint="eastAsia"/>
          <w:b/>
          <w:color w:val="auto"/>
          <w:lang w:eastAsia="zh-CN"/>
        </w:rPr>
        <w:t>五、如果在参加本次网上挂牌交易活动的过程中遇到问题，请及时联系，联系电话如下：</w:t>
      </w:r>
    </w:p>
    <w:p w14:paraId="597BD3DC">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rPr>
      </w:pP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县公共资源交易中心</w:t>
      </w:r>
      <w:r>
        <w:rPr>
          <w:rFonts w:hint="eastAsia" w:asciiTheme="minorEastAsia" w:hAnsiTheme="minorEastAsia" w:eastAsiaTheme="minorEastAsia" w:cstheme="minorEastAsia"/>
          <w:color w:val="auto"/>
          <w:sz w:val="30"/>
          <w:szCs w:val="30"/>
          <w:shd w:val="clear" w:fill="FFFFFF"/>
          <w:lang w:eastAsia="zh-CN"/>
        </w:rPr>
        <w:t>：宫伟东</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5355056</w:t>
      </w:r>
    </w:p>
    <w:p w14:paraId="37A2C26E">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rPr>
        <w:t>财务联系人：</w:t>
      </w:r>
      <w:r>
        <w:rPr>
          <w:rFonts w:hint="eastAsia" w:asciiTheme="minorEastAsia" w:hAnsiTheme="minorEastAsia" w:eastAsiaTheme="minorEastAsia" w:cstheme="minorEastAsia"/>
          <w:color w:val="auto"/>
          <w:sz w:val="30"/>
          <w:szCs w:val="30"/>
          <w:shd w:val="clear" w:fill="FFFFFF"/>
          <w:lang w:eastAsia="zh-CN"/>
        </w:rPr>
        <w:t>张立</w:t>
      </w:r>
      <w:r>
        <w:rPr>
          <w:rFonts w:hint="eastAsia" w:asciiTheme="minorEastAsia" w:hAnsiTheme="minorEastAsia" w:eastAsiaTheme="minorEastAsia" w:cstheme="minorEastAsia"/>
          <w:color w:val="auto"/>
          <w:sz w:val="30"/>
          <w:szCs w:val="30"/>
          <w:shd w:val="clear" w:fill="FFFFFF"/>
          <w:lang w:val="en-US" w:eastAsia="zh-CN"/>
        </w:rPr>
        <w:t>锋</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5355598</w:t>
      </w:r>
    </w:p>
    <w:p w14:paraId="262DC3C4">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eastAsia="zh-CN"/>
        </w:rPr>
        <w:t>林西</w:t>
      </w:r>
      <w:r>
        <w:rPr>
          <w:rFonts w:hint="eastAsia" w:asciiTheme="minorEastAsia" w:hAnsiTheme="minorEastAsia" w:eastAsiaTheme="minorEastAsia" w:cstheme="minorEastAsia"/>
          <w:color w:val="auto"/>
          <w:sz w:val="30"/>
          <w:szCs w:val="30"/>
          <w:shd w:val="clear" w:fill="FFFFFF"/>
        </w:rPr>
        <w:t>县自然资源局</w:t>
      </w:r>
      <w:r>
        <w:rPr>
          <w:rFonts w:hint="eastAsia" w:asciiTheme="minorEastAsia" w:hAnsiTheme="minorEastAsia" w:eastAsiaTheme="minorEastAsia" w:cstheme="minorEastAsia"/>
          <w:color w:val="auto"/>
          <w:sz w:val="30"/>
          <w:szCs w:val="30"/>
          <w:shd w:val="clear" w:fill="FFFFFF"/>
          <w:lang w:eastAsia="zh-CN"/>
        </w:rPr>
        <w:t>：</w:t>
      </w:r>
      <w:r>
        <w:rPr>
          <w:rFonts w:hint="eastAsia" w:asciiTheme="minorEastAsia" w:hAnsiTheme="minorEastAsia" w:eastAsiaTheme="minorEastAsia" w:cstheme="minorEastAsia"/>
          <w:color w:val="auto"/>
          <w:sz w:val="30"/>
          <w:szCs w:val="30"/>
          <w:shd w:val="clear" w:fill="FFFFFF"/>
          <w:lang w:val="en-US" w:eastAsia="zh-CN"/>
        </w:rPr>
        <w:t>穆亚飞</w:t>
      </w:r>
      <w:r>
        <w:rPr>
          <w:rFonts w:hint="eastAsia" w:asciiTheme="minorEastAsia" w:hAnsiTheme="minorEastAsia" w:eastAsiaTheme="minorEastAsia" w:cstheme="minorEastAsia"/>
          <w:color w:val="auto"/>
          <w:sz w:val="30"/>
          <w:szCs w:val="30"/>
          <w:shd w:val="clear" w:fill="FFFFFF"/>
        </w:rPr>
        <w:t xml:space="preserve"> </w:t>
      </w:r>
      <w:r>
        <w:rPr>
          <w:rFonts w:hint="eastAsia" w:asciiTheme="minorEastAsia" w:hAnsiTheme="minorEastAsia" w:eastAsiaTheme="minorEastAsia" w:cstheme="minorEastAsia"/>
          <w:color w:val="auto"/>
          <w:sz w:val="30"/>
          <w:szCs w:val="30"/>
          <w:shd w:val="clear" w:fill="FFFFFF"/>
          <w:lang w:val="en-US" w:eastAsia="zh-CN"/>
        </w:rPr>
        <w:t xml:space="preserve"> </w:t>
      </w:r>
      <w:r>
        <w:rPr>
          <w:rFonts w:hint="eastAsia" w:asciiTheme="minorEastAsia" w:hAnsiTheme="minorEastAsia" w:eastAsiaTheme="minorEastAsia" w:cstheme="minorEastAsia"/>
          <w:color w:val="auto"/>
          <w:sz w:val="30"/>
          <w:szCs w:val="30"/>
          <w:shd w:val="clear" w:fill="FFFFFF"/>
        </w:rPr>
        <w:t>联系电话：0476-</w:t>
      </w:r>
      <w:r>
        <w:rPr>
          <w:rFonts w:hint="eastAsia" w:asciiTheme="minorEastAsia" w:hAnsiTheme="minorEastAsia" w:eastAsiaTheme="minorEastAsia" w:cstheme="minorEastAsia"/>
          <w:color w:val="auto"/>
          <w:sz w:val="30"/>
          <w:szCs w:val="30"/>
          <w:shd w:val="clear" w:fill="FFFFFF"/>
          <w:lang w:val="en-US" w:eastAsia="zh-CN"/>
        </w:rPr>
        <w:t>5320961</w:t>
      </w:r>
    </w:p>
    <w:p w14:paraId="39FF118E">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756EFF2B">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6C87BE55">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549E9A33">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771284CC">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508FB508">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1FFBE800">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2769E17E">
      <w:pPr>
        <w:pStyle w:val="9"/>
        <w:keepNext w:val="0"/>
        <w:keepLines w:val="0"/>
        <w:widowControl/>
        <w:suppressLineNumbers w:val="0"/>
        <w:spacing w:before="0" w:beforeAutospacing="0" w:after="120" w:afterAutospacing="0" w:line="360" w:lineRule="auto"/>
        <w:ind w:right="0"/>
        <w:jc w:val="left"/>
        <w:rPr>
          <w:rFonts w:hint="eastAsia" w:asciiTheme="minorEastAsia" w:hAnsiTheme="minorEastAsia" w:eastAsiaTheme="minorEastAsia" w:cstheme="minorEastAsia"/>
          <w:color w:val="auto"/>
          <w:sz w:val="30"/>
          <w:szCs w:val="30"/>
          <w:shd w:val="clear" w:fill="FFFFFF"/>
          <w:lang w:val="en-US" w:eastAsia="zh-CN"/>
        </w:rPr>
      </w:pPr>
    </w:p>
    <w:p w14:paraId="1F8A5EAA">
      <w:pPr>
        <w:pStyle w:val="9"/>
        <w:keepNext w:val="0"/>
        <w:keepLines w:val="0"/>
        <w:widowControl/>
        <w:suppressLineNumbers w:val="0"/>
        <w:spacing w:before="0" w:beforeAutospacing="0" w:after="120" w:afterAutospacing="0" w:line="360" w:lineRule="auto"/>
        <w:ind w:right="0"/>
        <w:jc w:val="left"/>
        <w:rPr>
          <w:rFonts w:hint="default" w:asciiTheme="minorEastAsia" w:hAnsiTheme="minorEastAsia" w:eastAsiaTheme="minorEastAsia" w:cstheme="minorEastAsia"/>
          <w:color w:val="auto"/>
          <w:sz w:val="30"/>
          <w:szCs w:val="30"/>
          <w:shd w:val="clear" w:fill="FFFFFF"/>
          <w:lang w:val="en-US" w:eastAsia="zh-CN"/>
        </w:rPr>
      </w:pPr>
    </w:p>
    <w:p w14:paraId="37C74DBB">
      <w:pPr>
        <w:pStyle w:val="3"/>
        <w:bidi w:val="0"/>
        <w:jc w:val="center"/>
        <w:rPr>
          <w:rFonts w:hint="eastAsia"/>
          <w:color w:val="auto"/>
          <w:lang w:val="en-US" w:eastAsia="zh-CN"/>
        </w:rPr>
      </w:pPr>
      <w:r>
        <w:rPr>
          <w:rFonts w:hint="eastAsia"/>
          <w:color w:val="auto"/>
          <w:lang w:val="en-US" w:eastAsia="zh-CN"/>
        </w:rPr>
        <w:t>附件： 林西县国有建设用地2025G-021标号宗地网上挂牌出让须知</w:t>
      </w:r>
    </w:p>
    <w:p w14:paraId="0A86E2A0">
      <w:pPr>
        <w:pStyle w:val="5"/>
        <w:bidi w:val="0"/>
        <w:rPr>
          <w:rFonts w:hint="default"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项目编号：</w:t>
      </w:r>
      <w:r>
        <w:rPr>
          <w:rFonts w:hint="eastAsia" w:cstheme="minorBidi"/>
          <w:b/>
          <w:color w:val="auto"/>
          <w:kern w:val="2"/>
          <w:sz w:val="32"/>
          <w:szCs w:val="24"/>
          <w:lang w:val="en-US" w:eastAsia="zh-CN" w:bidi="ar-SA"/>
        </w:rPr>
        <w:t>2025LXTD009</w:t>
      </w:r>
    </w:p>
    <w:p w14:paraId="6C48F126">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eastAsia="zh-CN"/>
        </w:rPr>
      </w:pPr>
      <w:r>
        <w:rPr>
          <w:rFonts w:hint="eastAsia" w:asciiTheme="minorEastAsia" w:hAnsiTheme="minorEastAsia" w:eastAsiaTheme="minorEastAsia" w:cstheme="minorEastAsia"/>
          <w:color w:val="auto"/>
          <w:sz w:val="30"/>
          <w:szCs w:val="30"/>
          <w:shd w:val="clear" w:fill="FFFFFF"/>
          <w:lang w:eastAsia="zh-CN"/>
        </w:rPr>
        <w:t>依据林西县人民政府批复，林西县自然资源局决定以网上挂牌方式出让</w:t>
      </w:r>
      <w:r>
        <w:rPr>
          <w:rFonts w:hint="eastAsia" w:asciiTheme="minorEastAsia" w:hAnsiTheme="minorEastAsia" w:eastAsiaTheme="minorEastAsia" w:cstheme="minorEastAsia"/>
          <w:color w:val="auto"/>
          <w:sz w:val="30"/>
          <w:szCs w:val="30"/>
          <w:shd w:val="clear" w:fill="FFFFFF"/>
          <w:lang w:val="en-US" w:eastAsia="zh-CN"/>
        </w:rPr>
        <w:t>以下</w:t>
      </w:r>
      <w:r>
        <w:rPr>
          <w:rFonts w:hint="eastAsia" w:asciiTheme="minorEastAsia" w:hAnsiTheme="minorEastAsia" w:eastAsiaTheme="minorEastAsia" w:cstheme="minorEastAsia"/>
          <w:color w:val="auto"/>
          <w:sz w:val="30"/>
          <w:szCs w:val="30"/>
          <w:shd w:val="clear" w:fill="FFFFFF"/>
          <w:lang w:eastAsia="zh-CN"/>
        </w:rPr>
        <w:t>土地国有建设用地使用权，并委托林西县公共资源交易中心具体承办。现将有关事项公告如下：</w:t>
      </w:r>
    </w:p>
    <w:p w14:paraId="16E3B88E">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一、林西县公共资源交易中心负责本次国有建设用地使用权挂牌出让的组织实施。</w:t>
      </w:r>
    </w:p>
    <w:p w14:paraId="12724802">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二、本次国有建设用地使用权挂牌出让遵循公开、公平、公正和诚实信用原则，按符合要求的价高者得的原则确定竞得人。</w:t>
      </w:r>
    </w:p>
    <w:p w14:paraId="4916B677">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三、出让地块的基本情况：</w:t>
      </w:r>
    </w:p>
    <w:p w14:paraId="1EC1443E">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一、2025G-021标号宗地</w:t>
      </w:r>
    </w:p>
    <w:p w14:paraId="25624E9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（一）土地权属来源：自治区人民政府批准征收的2023年第三批次国有建设用地(内政土发[2023]774号)。</w:t>
      </w:r>
    </w:p>
    <w:p w14:paraId="53537409">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（二）土地面积：3.3333公顷。</w:t>
      </w:r>
    </w:p>
    <w:p w14:paraId="37B230A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（三）土地位置：林西县工业园区鼎泰路西侧、久日公司南侧。</w:t>
      </w:r>
    </w:p>
    <w:p w14:paraId="190D2170">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（四）规划建设条件及要求</w:t>
      </w:r>
    </w:p>
    <w:p w14:paraId="0753C8B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1、容积率：大于等于0.6；</w:t>
      </w:r>
    </w:p>
    <w:p w14:paraId="5DD183AB">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2、建筑系数：大于等于30%；</w:t>
      </w:r>
    </w:p>
    <w:p w14:paraId="2084058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3、绿地率：小于等于20%；</w:t>
      </w:r>
    </w:p>
    <w:p w14:paraId="5BB88A6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具体指标要求以《内蒙古自治区建设用地规划条件书》(条字第150424202500022号)为准。</w:t>
      </w:r>
    </w:p>
    <w:p w14:paraId="3BB3401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4、标准地要求：赤峰林西工业园区管理办公室出具了《赤峰林西工业园区关于2025G-021标地块土地挂牌的请示》，行业类型为化工类，出让年期为50年，固定资产投资强度大于等于人民币200万元/亩，建筑容积率大于等于0.6，项目达产后亩均税收大于等于人民币5万元/亩，项目达产后亩均产值大于等于人民币100万元/亩。</w:t>
      </w:r>
    </w:p>
    <w:p w14:paraId="49B4435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（五）用地性质：工业用地</w:t>
      </w:r>
    </w:p>
    <w:p w14:paraId="39BCE6B7">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（六）拟出让方式：以“标准地”挂牌方式出让</w:t>
      </w:r>
    </w:p>
    <w:p w14:paraId="484EC79C">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（七）出让年限：50年</w:t>
      </w:r>
    </w:p>
    <w:p w14:paraId="30E9038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（八）评估价钱</w:t>
      </w:r>
    </w:p>
    <w:p w14:paraId="072FF8A5">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自然资源局通过内蒙古自治区网上中介服务超市发布宗地地价评估需求后选取并委托内蒙古天翼房地产估价有限责任公司对本宗地进行了地价评估，林西县自然资源局根据出让估价结果及赤峰林西工业园区产业相关政策（如“标准地”等），确定土地评估单价为84元/平方米（5.6万元/亩），评估总价为279.9972万元。</w:t>
      </w:r>
    </w:p>
    <w:p w14:paraId="1A2009B9">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（九）出让起始价、竞买保证金额度、增价幅度</w:t>
      </w:r>
    </w:p>
    <w:p w14:paraId="152369A3">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挂牌出让起始价为279.9972万元，竞买保证金为279.9972万元，增价幅度为每次增价1万元或每次增价1万元的整数倍。</w:t>
      </w:r>
    </w:p>
    <w:p w14:paraId="166B107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（十）土地出让金的确定</w:t>
      </w:r>
    </w:p>
    <w:p w14:paraId="6A4362F4">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该宗地出让成交价为出让金总额</w:t>
      </w:r>
    </w:p>
    <w:p w14:paraId="123BEF41">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(十一)土地出让金缴纳方式</w:t>
      </w:r>
    </w:p>
    <w:p w14:paraId="6F44E389">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土地出让金缴纳方式为一次性缴纳。</w:t>
      </w:r>
    </w:p>
    <w:p w14:paraId="4BC66B5F">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(十二)承办方</w:t>
      </w:r>
    </w:p>
    <w:p w14:paraId="0E49F68D">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林西县公共资源交易中心。</w:t>
      </w:r>
    </w:p>
    <w:p w14:paraId="1AD15ED9">
      <w:pPr>
        <w:pStyle w:val="9"/>
        <w:keepNext w:val="0"/>
        <w:keepLines w:val="0"/>
        <w:widowControl/>
        <w:suppressLineNumbers w:val="0"/>
        <w:spacing w:before="0" w:beforeAutospacing="0" w:after="120" w:afterAutospacing="0" w:line="360" w:lineRule="auto"/>
        <w:ind w:left="0" w:right="0" w:firstLine="456"/>
        <w:jc w:val="left"/>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四、竞买资格及要求</w:t>
      </w:r>
    </w:p>
    <w:p w14:paraId="561F19EB">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（一）中华人民共和国境内外的自然人、法人及其它组织，除法律、法规另有规定外均可申请竞买。</w:t>
      </w:r>
    </w:p>
    <w:p w14:paraId="295BFA3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Theme="minorEastAsia" w:hAnsiTheme="minorEastAsia" w:eastAsiaTheme="minorEastAsia" w:cstheme="minorEastAsia"/>
          <w:color w:val="auto"/>
          <w:sz w:val="30"/>
          <w:szCs w:val="30"/>
          <w:shd w:val="clear" w:fill="FFFFFF"/>
          <w:lang w:val="en-US" w:eastAsia="zh-CN"/>
        </w:rPr>
        <w:t>申请人竞得土地后，拟成立新公司进行开发建设的，应在申报材料中明确新公司的出资构成、成立时</w:t>
      </w:r>
      <w:r>
        <w:rPr>
          <w:rFonts w:hint="eastAsia" w:ascii="宋体" w:hAnsi="宋体" w:eastAsia="宋体" w:cs="宋体"/>
          <w:color w:val="auto"/>
          <w:sz w:val="30"/>
          <w:szCs w:val="30"/>
          <w:shd w:val="clear" w:fill="FFFFFF"/>
          <w:lang w:val="en-US" w:eastAsia="zh-CN"/>
        </w:rPr>
        <w:t>间等内容。出让人可以根据招标拍卖挂牌出让结果，先与竞得人签订《国有土地使用权出让合同》，在竞得人按约定办理完新公司注册登记手续后，再与新公司签订《国有土地使用权出让合同变更协议》；也可按约定直接与新公司签订《国有土地使用权出让合同》。</w:t>
      </w:r>
    </w:p>
    <w:p w14:paraId="06B9AA7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（二）有欠缴土地出让金、闲置土地、违反合同约定开发建设等不良行为的用地者不得参加竞买。</w:t>
      </w:r>
    </w:p>
    <w:p w14:paraId="6D6BC6D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（三）只有办理数字证书、网上申请并按要求足额缴纳竞买保证金的申请人，才能参加网上出让交易活动。</w:t>
      </w:r>
    </w:p>
    <w:p w14:paraId="6A2C0A0E">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(四)时间安排公告时间：</w:t>
      </w:r>
    </w:p>
    <w:p w14:paraId="0B451AD8">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1</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公告时间：202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rPr>
        <w:t>日上午9:30时起至202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rPr>
        <w:t>日上午9:30时止。</w:t>
      </w:r>
    </w:p>
    <w:p w14:paraId="52C66E89">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2</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报名时间：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7</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lang w:eastAsia="zh-CN"/>
        </w:rPr>
        <w:t>日上午9:30时</w:t>
      </w:r>
      <w:r>
        <w:rPr>
          <w:rFonts w:hint="eastAsia" w:asciiTheme="minorEastAsia" w:hAnsiTheme="minorEastAsia" w:eastAsiaTheme="minorEastAsia" w:cstheme="minorEastAsia"/>
          <w:color w:val="auto"/>
          <w:sz w:val="30"/>
          <w:szCs w:val="30"/>
          <w:highlight w:val="none"/>
          <w:shd w:val="clear" w:fill="FFFFFF"/>
        </w:rPr>
        <w:t>起至</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2D9C30B7">
      <w:pPr>
        <w:pStyle w:val="9"/>
        <w:keepNext w:val="0"/>
        <w:keepLines w:val="0"/>
        <w:widowControl/>
        <w:suppressLineNumbers w:val="0"/>
        <w:spacing w:before="0" w:beforeAutospacing="0" w:after="120" w:afterAutospacing="0" w:line="360" w:lineRule="auto"/>
        <w:ind w:left="0" w:right="0" w:firstLine="456"/>
        <w:jc w:val="left"/>
        <w:rPr>
          <w:rFonts w:hint="eastAsia" w:asciiTheme="minorEastAsia" w:hAnsiTheme="minorEastAsia" w:eastAsiaTheme="minorEastAsia" w:cstheme="minorEastAsia"/>
          <w:color w:val="auto"/>
          <w:sz w:val="30"/>
          <w:szCs w:val="30"/>
          <w:highlight w:val="none"/>
          <w:shd w:val="clear" w:fill="FFFFFF"/>
          <w:lang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3</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保证金到账截止时间：</w:t>
      </w:r>
      <w:r>
        <w:rPr>
          <w:rFonts w:hint="eastAsia" w:asciiTheme="minorEastAsia" w:hAnsiTheme="minorEastAsia" w:eastAsiaTheme="minorEastAsia" w:cstheme="minorEastAsia"/>
          <w:color w:val="auto"/>
          <w:sz w:val="30"/>
          <w:szCs w:val="30"/>
          <w:highlight w:val="none"/>
          <w:shd w:val="clear" w:fill="FFFFFF"/>
          <w:lang w:eastAsia="zh-CN"/>
        </w:rPr>
        <w:t>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lang w:eastAsia="zh-CN"/>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lang w:eastAsia="zh-CN"/>
        </w:rPr>
        <w:t>月</w:t>
      </w:r>
      <w:r>
        <w:rPr>
          <w:rFonts w:hint="eastAsia" w:asciiTheme="minorEastAsia" w:hAnsiTheme="minorEastAsia" w:cstheme="minorEastAsia"/>
          <w:color w:val="auto"/>
          <w:sz w:val="30"/>
          <w:szCs w:val="30"/>
          <w:highlight w:val="none"/>
          <w:shd w:val="clear" w:fill="FFFFFF"/>
          <w:lang w:val="en-US" w:eastAsia="zh-CN"/>
        </w:rPr>
        <w:t>14</w:t>
      </w:r>
      <w:r>
        <w:rPr>
          <w:rFonts w:hint="eastAsia" w:asciiTheme="minorEastAsia" w:hAnsiTheme="minorEastAsia" w:eastAsiaTheme="minorEastAsia" w:cstheme="minorEastAsia"/>
          <w:color w:val="auto"/>
          <w:sz w:val="30"/>
          <w:szCs w:val="30"/>
          <w:highlight w:val="none"/>
          <w:shd w:val="clear" w:fill="FFFFFF"/>
          <w:lang w:eastAsia="zh-CN"/>
        </w:rPr>
        <w:t>日上午9:30时止</w:t>
      </w:r>
      <w:r>
        <w:rPr>
          <w:rFonts w:hint="eastAsia" w:asciiTheme="minorEastAsia" w:hAnsiTheme="minorEastAsia" w:eastAsiaTheme="minorEastAsia" w:cstheme="minorEastAsia"/>
          <w:color w:val="auto"/>
          <w:sz w:val="30"/>
          <w:szCs w:val="30"/>
          <w:highlight w:val="none"/>
          <w:shd w:val="clear" w:fill="FFFFFF"/>
        </w:rPr>
        <w:t>。</w:t>
      </w:r>
    </w:p>
    <w:p w14:paraId="5834B979">
      <w:pPr>
        <w:pStyle w:val="9"/>
        <w:keepNext w:val="0"/>
        <w:keepLines w:val="0"/>
        <w:widowControl/>
        <w:suppressLineNumbers w:val="0"/>
        <w:spacing w:before="0" w:beforeAutospacing="0" w:after="120" w:afterAutospacing="0" w:line="360" w:lineRule="auto"/>
        <w:ind w:left="0" w:right="0" w:firstLine="456"/>
        <w:jc w:val="left"/>
        <w:rPr>
          <w:rFonts w:hint="default" w:asciiTheme="minorEastAsia" w:hAnsiTheme="minorEastAsia" w:eastAsiaTheme="minorEastAsia" w:cstheme="minorEastAsia"/>
          <w:color w:val="auto"/>
          <w:sz w:val="30"/>
          <w:szCs w:val="30"/>
          <w:highlight w:val="none"/>
          <w:shd w:val="clear" w:fill="FFFFFF"/>
          <w:lang w:val="en-US" w:eastAsia="zh-CN"/>
        </w:rPr>
      </w:pP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cstheme="minorEastAsia"/>
          <w:color w:val="auto"/>
          <w:sz w:val="30"/>
          <w:szCs w:val="30"/>
          <w:highlight w:val="none"/>
          <w:shd w:val="clear" w:fill="FFFFFF"/>
          <w:lang w:eastAsia="zh-CN"/>
        </w:rPr>
        <w:t>）</w:t>
      </w:r>
      <w:r>
        <w:rPr>
          <w:rFonts w:hint="eastAsia" w:asciiTheme="minorEastAsia" w:hAnsiTheme="minorEastAsia" w:eastAsiaTheme="minorEastAsia" w:cstheme="minorEastAsia"/>
          <w:color w:val="auto"/>
          <w:sz w:val="30"/>
          <w:szCs w:val="30"/>
          <w:highlight w:val="none"/>
          <w:shd w:val="clear" w:fill="FFFFFF"/>
        </w:rPr>
        <w:t>网上挂牌时间为：202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bookmarkStart w:id="0" w:name="_GoBack"/>
      <w:bookmarkEnd w:id="0"/>
      <w:r>
        <w:rPr>
          <w:rFonts w:hint="eastAsia" w:asciiTheme="minorEastAsia" w:hAnsiTheme="minorEastAsia" w:cstheme="minorEastAsia"/>
          <w:color w:val="auto"/>
          <w:sz w:val="30"/>
          <w:szCs w:val="30"/>
          <w:highlight w:val="none"/>
          <w:shd w:val="clear" w:fill="FFFFFF"/>
          <w:lang w:val="en-US" w:eastAsia="zh-CN"/>
        </w:rPr>
        <w:t>15</w:t>
      </w:r>
      <w:r>
        <w:rPr>
          <w:rFonts w:hint="eastAsia" w:asciiTheme="minorEastAsia" w:hAnsiTheme="minorEastAsia" w:eastAsiaTheme="minorEastAsia" w:cstheme="minorEastAsia"/>
          <w:color w:val="auto"/>
          <w:sz w:val="30"/>
          <w:szCs w:val="30"/>
          <w:highlight w:val="none"/>
          <w:shd w:val="clear" w:fill="FFFFFF"/>
        </w:rPr>
        <w:t>日上午9:</w:t>
      </w:r>
      <w:r>
        <w:rPr>
          <w:rFonts w:hint="eastAsia" w:asciiTheme="minorEastAsia" w:hAnsiTheme="minorEastAsia" w:cstheme="minorEastAsia"/>
          <w:color w:val="auto"/>
          <w:sz w:val="30"/>
          <w:szCs w:val="30"/>
          <w:highlight w:val="none"/>
          <w:shd w:val="clear" w:fill="FFFFFF"/>
          <w:lang w:val="en-US" w:eastAsia="zh-CN"/>
        </w:rPr>
        <w:t>00</w:t>
      </w:r>
      <w:r>
        <w:rPr>
          <w:rFonts w:hint="eastAsia" w:asciiTheme="minorEastAsia" w:hAnsiTheme="minorEastAsia" w:eastAsiaTheme="minorEastAsia" w:cstheme="minorEastAsia"/>
          <w:color w:val="auto"/>
          <w:sz w:val="30"/>
          <w:szCs w:val="30"/>
          <w:highlight w:val="none"/>
          <w:shd w:val="clear" w:fill="FFFFFF"/>
        </w:rPr>
        <w:t>时起至202</w:t>
      </w:r>
      <w:r>
        <w:rPr>
          <w:rFonts w:hint="eastAsia" w:asciiTheme="minorEastAsia" w:hAnsiTheme="minorEastAsia" w:eastAsiaTheme="minorEastAsia" w:cstheme="minorEastAsia"/>
          <w:color w:val="auto"/>
          <w:sz w:val="30"/>
          <w:szCs w:val="30"/>
          <w:highlight w:val="none"/>
          <w:shd w:val="clear" w:fill="FFFFFF"/>
          <w:lang w:val="en-US" w:eastAsia="zh-CN"/>
        </w:rPr>
        <w:t>5</w:t>
      </w:r>
      <w:r>
        <w:rPr>
          <w:rFonts w:hint="eastAsia" w:asciiTheme="minorEastAsia" w:hAnsiTheme="minorEastAsia" w:eastAsiaTheme="minorEastAsia" w:cstheme="minorEastAsia"/>
          <w:color w:val="auto"/>
          <w:sz w:val="30"/>
          <w:szCs w:val="30"/>
          <w:highlight w:val="none"/>
          <w:shd w:val="clear" w:fill="FFFFFF"/>
        </w:rPr>
        <w:t>年</w:t>
      </w:r>
      <w:r>
        <w:rPr>
          <w:rFonts w:hint="eastAsia" w:asciiTheme="minorEastAsia" w:hAnsiTheme="minorEastAsia" w:cstheme="minorEastAsia"/>
          <w:color w:val="auto"/>
          <w:sz w:val="30"/>
          <w:szCs w:val="30"/>
          <w:highlight w:val="none"/>
          <w:shd w:val="clear" w:fill="FFFFFF"/>
          <w:lang w:val="en-US" w:eastAsia="zh-CN"/>
        </w:rPr>
        <w:t>8</w:t>
      </w:r>
      <w:r>
        <w:rPr>
          <w:rFonts w:hint="eastAsia" w:asciiTheme="minorEastAsia" w:hAnsiTheme="minorEastAsia" w:eastAsiaTheme="minorEastAsia" w:cstheme="minorEastAsia"/>
          <w:color w:val="auto"/>
          <w:sz w:val="30"/>
          <w:szCs w:val="30"/>
          <w:highlight w:val="none"/>
          <w:shd w:val="clear" w:fill="FFFFFF"/>
        </w:rPr>
        <w:t>月</w:t>
      </w:r>
      <w:r>
        <w:rPr>
          <w:rFonts w:hint="eastAsia" w:asciiTheme="minorEastAsia" w:hAnsiTheme="minorEastAsia" w:cstheme="minorEastAsia"/>
          <w:color w:val="auto"/>
          <w:sz w:val="30"/>
          <w:szCs w:val="30"/>
          <w:highlight w:val="none"/>
          <w:shd w:val="clear" w:fill="FFFFFF"/>
          <w:lang w:val="en-US" w:eastAsia="zh-CN"/>
        </w:rPr>
        <w:t>26</w:t>
      </w:r>
      <w:r>
        <w:rPr>
          <w:rFonts w:hint="eastAsia" w:asciiTheme="minorEastAsia" w:hAnsiTheme="minorEastAsia" w:eastAsiaTheme="minorEastAsia" w:cstheme="minorEastAsia"/>
          <w:color w:val="auto"/>
          <w:sz w:val="30"/>
          <w:szCs w:val="30"/>
          <w:highlight w:val="none"/>
          <w:shd w:val="clear" w:fill="FFFFFF"/>
        </w:rPr>
        <w:t>日上午1</w:t>
      </w:r>
      <w:r>
        <w:rPr>
          <w:rFonts w:hint="eastAsia" w:asciiTheme="minorEastAsia" w:hAnsiTheme="minorEastAsia" w:cstheme="minorEastAsia"/>
          <w:color w:val="auto"/>
          <w:sz w:val="30"/>
          <w:szCs w:val="30"/>
          <w:highlight w:val="none"/>
          <w:shd w:val="clear" w:fill="FFFFFF"/>
          <w:lang w:val="en-US" w:eastAsia="zh-CN"/>
        </w:rPr>
        <w:t>4</w:t>
      </w:r>
      <w:r>
        <w:rPr>
          <w:rFonts w:hint="eastAsia" w:asciiTheme="minorEastAsia" w:hAnsiTheme="minorEastAsia" w:eastAsiaTheme="minorEastAsia" w:cstheme="minorEastAsia"/>
          <w:color w:val="auto"/>
          <w:sz w:val="30"/>
          <w:szCs w:val="30"/>
          <w:highlight w:val="none"/>
          <w:shd w:val="clear" w:fill="FFFFFF"/>
        </w:rPr>
        <w:t>:</w:t>
      </w:r>
      <w:r>
        <w:rPr>
          <w:rFonts w:hint="eastAsia" w:asciiTheme="minorEastAsia" w:hAnsiTheme="minorEastAsia" w:cstheme="minorEastAsia"/>
          <w:color w:val="auto"/>
          <w:sz w:val="30"/>
          <w:szCs w:val="30"/>
          <w:highlight w:val="none"/>
          <w:shd w:val="clear" w:fill="FFFFFF"/>
          <w:lang w:val="en-US" w:eastAsia="zh-CN"/>
        </w:rPr>
        <w:t>0</w:t>
      </w:r>
      <w:r>
        <w:rPr>
          <w:rFonts w:hint="eastAsia" w:asciiTheme="minorEastAsia" w:hAnsiTheme="minorEastAsia" w:eastAsiaTheme="minorEastAsia" w:cstheme="minorEastAsia"/>
          <w:color w:val="auto"/>
          <w:sz w:val="30"/>
          <w:szCs w:val="30"/>
          <w:highlight w:val="none"/>
          <w:shd w:val="clear" w:fill="FFFFFF"/>
        </w:rPr>
        <w:t>0时止。</w:t>
      </w:r>
    </w:p>
    <w:p w14:paraId="61B09F3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（五）竞得人缴纳的竞买保证金将抵顶土地出让金，未竞得人缴纳的竞买保证金将于挂牌结束后5个工作日内不计利息退回。</w:t>
      </w:r>
    </w:p>
    <w:p w14:paraId="3FC4B6F3">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五、获取挂牌文件</w:t>
      </w:r>
    </w:p>
    <w:p w14:paraId="7F843C85">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本次挂牌出让的详细资料和具体要求见挂牌出让文件，获取办法：登录“内蒙古自治区自然资源网上交易系统（http://219.159.12.165:8090/trade-engine/trade/index）”网站（以下简称“网上交易系统”），点击“土地竞买”，在对应挂牌资源详情中浏览并下载相关文件。</w:t>
      </w:r>
    </w:p>
    <w:p w14:paraId="2DA3F1B8">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六、竞买人报名和交纳竞买保证金</w:t>
      </w:r>
    </w:p>
    <w:p w14:paraId="2956174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（一）系统登录</w:t>
      </w:r>
    </w:p>
    <w:p w14:paraId="4BB8C91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本次土地挂牌出让采用网上竞买申请的方式，竞买人在报名期内插入CA数字证书使用IE浏览器（IE浏览器版本不得低于IE10）登录“网上交易系统”(http://219.159.12.165:8090/trade-engine/trade/index)阅读交易规则，点击预竞买的资源；</w:t>
      </w:r>
    </w:p>
    <w:p w14:paraId="006EA2F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（二）竞买申请书及电子签章</w:t>
      </w:r>
    </w:p>
    <w:p w14:paraId="464AC2D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网上挂牌第一次报价不能选择增价幅度进行报价，应以起始价进行报价。</w:t>
      </w:r>
    </w:p>
    <w:p w14:paraId="45D0D17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按要求填写《竞买申请书》，然后点击“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14:paraId="0708BC9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（三）保证金缴纳</w:t>
      </w:r>
    </w:p>
    <w:p w14:paraId="731CE61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竞买人提交签章文件后，点击“选择银行”按钮选择银行，系统自动生成保证金交纳通知书，竞买人按照通知书中指定的保证金账号将履约保证金足额交纳。交纳完成后回到交易系统内查看到账情况，获取竞买资格确认书，完成竞买申请。</w:t>
      </w:r>
    </w:p>
    <w:p w14:paraId="753B4C81">
      <w:pPr>
        <w:pStyle w:val="9"/>
        <w:widowControl/>
        <w:spacing w:line="21" w:lineRule="atLeast"/>
        <w:ind w:firstLine="645"/>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如对系统操作存在疑问，可点击交易系统“服务中心”栏目下的“资料下载”功能下载用户操作手册。</w:t>
      </w:r>
    </w:p>
    <w:p w14:paraId="3D60EB0E">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七、网上挂牌报价程序</w:t>
      </w:r>
    </w:p>
    <w:p w14:paraId="2E54896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（一）挂牌报价：资源进入挂牌期，竞买人插入CA数字证书登录“网上交易系统”，选择资源点击“竞买报价”按钮进入挂牌出价页面，按要求选择增加幅度的倍数，点击右下角“确认出价”按钮即可完成报价。</w:t>
      </w:r>
    </w:p>
    <w:p w14:paraId="0982D9BE">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挂牌期内竞买人可以多次出价，每次报价必须按增价幅度的倍数报价且高于当前最高有效报价。</w:t>
      </w:r>
    </w:p>
    <w:p w14:paraId="5646EA5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（二）挂牌期确定预竞得人：挂牌期内只有一个竞买人进行有效报价，系统确定其为预竞得人。资源挂牌期截止后，有两个或两个以上的竞买人参与挂牌报价，系统进入限时竞价。</w:t>
      </w:r>
    </w:p>
    <w:p w14:paraId="7244165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（三）限时竞价</w:t>
      </w:r>
    </w:p>
    <w:p w14:paraId="17D096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1、询问期：资源挂牌期截止后，有两个或两个以上的竞买人参与挂牌报价，系统自动进入询问期，询问期结束后，进入限时竞价环节；</w:t>
      </w:r>
    </w:p>
    <w:p w14:paraId="5E7B5A0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限时竞价：进入限时竞价环节的竞买人需在系统设定的倒计时时间内进行报价，报价应是增价幅度的倍数，系统以4分钟倒计时为竞价时限，如在4分钟倒计时内有新的报价，系统即从接受新报价之时起重置竞价时限，竞买人可参加新一轮的报价。4分钟倒计时内无人报价，则在该地块4分钟倒计时结束时自动关闭竞价通道，系统确定当前最高有效报价，限时竞价结束。</w:t>
      </w:r>
    </w:p>
    <w:p w14:paraId="2BE6C6F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3、限时竞价报价最高者为预竞得人：限时竞价期间无人报价的，挂牌截止时最高有效报价者为预竞得人。</w:t>
      </w:r>
    </w:p>
    <w:p w14:paraId="6AD2CA0D">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八、资格确认</w:t>
      </w:r>
    </w:p>
    <w:p w14:paraId="4EDFF434">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预竞得人在竞价结束后，系统确定预竞得人，并签发《资格确认通知书》，预竞得人接受资格确认可选择下列两种方式中的任意一种进行资格确认，通过资格确认的，林西县公共资源交易中心签发《预成交通知书》，未通过资格确认的取消其竞得资格，并扣除竞买保证金的5%作为违约金（预竞得人提供虚假材料或另有约定的除外），剩余退还原支付账户。</w:t>
      </w:r>
    </w:p>
    <w:p w14:paraId="18D7862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预竞得人在网上交易结束后3个工作日内，持《资格确认通知书》打印件和出让文件要求提交的相关资料，到林西县公共资源交易中心指定地点进行资格确认。通过确认资格的，林西县公共资源交易中心签发《预成交通知书》，未通过资格确认的取消其竞得资格。</w:t>
      </w:r>
    </w:p>
    <w:p w14:paraId="4BB5113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预竞得人也可在系统签发《资格确认通知书》的2个工作日内将出让文件要求提交的相关资料上传至交易系统，林西县公共资源交易中心在线对其进行资格审查。通过资格确认的，林西县公共资源交易中心签发《预成交通知书》，未通过审核的取消其竞得资格。</w:t>
      </w:r>
    </w:p>
    <w:p w14:paraId="647D15F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一）最高报价人为法人的，应提交下列文件：</w:t>
      </w:r>
    </w:p>
    <w:p w14:paraId="359D76B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730B13C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6624583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0A2BF1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4、法人单位有效营业执照副本（线下提交一式两份，需验原件留复印件）；</w:t>
      </w:r>
    </w:p>
    <w:p w14:paraId="4C7C4B2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5、法定代表人证明书，需加盖报名单位公章（线下提交一式两份)；</w:t>
      </w:r>
    </w:p>
    <w:p w14:paraId="6BA829D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6、法定代表人的有效身份证（线下提交一式两份，需验原件留复印件）；</w:t>
      </w:r>
    </w:p>
    <w:p w14:paraId="250D86B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7、申请人委托他人办理的，应提交授权委托书（原件）及委托代理人的有效身份证（线下提交一式两份，需验原件留复印件）；</w:t>
      </w:r>
    </w:p>
    <w:p w14:paraId="0F93914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8、挂牌文件规定需要提交的其他文件。</w:t>
      </w:r>
    </w:p>
    <w:p w14:paraId="75946A1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二）最高报价人为自然人的，应提交下列文件:</w:t>
      </w:r>
    </w:p>
    <w:p w14:paraId="0B417A9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3EC65B0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0F7DA01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1804EBB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4、申请人的有效身份证（线下提交一式两份，需验原件留复印件）；</w:t>
      </w:r>
    </w:p>
    <w:p w14:paraId="66CE235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5、申请人委托他人办理的，应提交授权委托书（原件）及委托代理人的有效身份证（线下提交一式两份，需验原件留复印件）；</w:t>
      </w:r>
    </w:p>
    <w:p w14:paraId="61A24C9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6、挂牌文件规定需要提交的其他文件。</w:t>
      </w:r>
    </w:p>
    <w:p w14:paraId="06738275">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三）最高报价人为其他组织的，应提交下列文件：</w:t>
      </w:r>
    </w:p>
    <w:p w14:paraId="352C5B3C">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1、竞买申请书（线下提交一式两份）；</w:t>
      </w:r>
    </w:p>
    <w:p w14:paraId="4FA7DC83">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2、竞买资格确认书（线下提交一式两份）；</w:t>
      </w:r>
    </w:p>
    <w:p w14:paraId="2015F50B">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3、竞买保证金交纳证明（线下提交一式两份）；</w:t>
      </w:r>
    </w:p>
    <w:p w14:paraId="30A5C971">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4、表示该组织合法存在的文件或有效证明（线下提交一式两份）；</w:t>
      </w:r>
    </w:p>
    <w:p w14:paraId="1F3AAE77">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5、该组织负责人身份的有效证明文件及负责人的身份证（线下提交一式两份，需验原件留复印件）；</w:t>
      </w:r>
    </w:p>
    <w:p w14:paraId="3992FD0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6、申请人委托他人办理的，应提交授权委托书及委托代理人的有效身份证（线下提交一式两份，需验原件留复印件）；</w:t>
      </w:r>
    </w:p>
    <w:p w14:paraId="6AF87250">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7、挂牌文件规定需要提交的其他文件。</w:t>
      </w:r>
    </w:p>
    <w:p w14:paraId="7F12C1B1">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九、成交确认</w:t>
      </w:r>
    </w:p>
    <w:p w14:paraId="1FA4CC18">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1、资格确认通过后，竞得人在3个工作日内持《预成交通知书》及上述应提交材料的纸质文件与林西县自然资源局签订《成交确认书》。</w:t>
      </w:r>
    </w:p>
    <w:p w14:paraId="6C0EA026">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2．《成交确认书》由竞得人在网上下载并签章后提交至林西县自然资源局。</w:t>
      </w:r>
    </w:p>
    <w:p w14:paraId="2B8990C9">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3．竞得人不按规定签订《成交确认书》的，应当承担法律责任；竞得人拒绝签订《成交确认书》不能对抗成交结果的法律效力。</w:t>
      </w:r>
    </w:p>
    <w:p w14:paraId="082ADCD9">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十、结果公示</w:t>
      </w:r>
    </w:p>
    <w:p w14:paraId="0F50FD14">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《成交确认书》签订后，出让人在10个工作日内在相关网站发布成交结果公示，并在公示期满后与林西县自然资源局签订《国有建设用地使用权出让合同》。</w:t>
      </w:r>
    </w:p>
    <w:p w14:paraId="3B6561B5">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十一、保证金的处置</w:t>
      </w:r>
    </w:p>
    <w:p w14:paraId="387F762F">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交易公示结束后，未竞得人的保证金5个工作日原路退还至基本账户（不计利息），竞得人的保证金转作国有土地使用权土地出让成交价款，如有溢价款部分按《国有建设用地使用权出让合同》约定缴纳。</w:t>
      </w:r>
    </w:p>
    <w:p w14:paraId="2ADF3D8C">
      <w:pPr>
        <w:pStyle w:val="5"/>
        <w:bidi w:val="0"/>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十二、注意事项：</w:t>
      </w:r>
    </w:p>
    <w:p w14:paraId="0B2BE289">
      <w:pPr>
        <w:pStyle w:val="9"/>
        <w:widowControl/>
        <w:numPr>
          <w:ilvl w:val="0"/>
          <w:numId w:val="0"/>
        </w:numPr>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（一）</w:t>
      </w:r>
      <w:r>
        <w:rPr>
          <w:rFonts w:hint="eastAsia" w:asciiTheme="minorEastAsia" w:hAnsiTheme="minorEastAsia" w:eastAsiaTheme="minorEastAsia" w:cstheme="minorEastAsia"/>
          <w:color w:val="auto"/>
          <w:sz w:val="30"/>
          <w:szCs w:val="30"/>
        </w:rPr>
        <w:t>竞买人未按照公告及挂牌出让文件全部要求执行的，所造成的一切损失和法律后果由竞买人自行承担。</w:t>
      </w:r>
    </w:p>
    <w:p w14:paraId="500D73B9">
      <w:pPr>
        <w:pStyle w:val="9"/>
        <w:widowControl/>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（二）</w:t>
      </w:r>
      <w:r>
        <w:rPr>
          <w:rFonts w:hint="eastAsia" w:asciiTheme="minorEastAsia" w:hAnsiTheme="minorEastAsia" w:eastAsiaTheme="minorEastAsia" w:cstheme="minorEastAsia"/>
          <w:color w:val="auto"/>
          <w:sz w:val="30"/>
          <w:szCs w:val="30"/>
        </w:rPr>
        <w:t>竞买人在“网上交易系统”实施的所有行为，均由“网上交易系统”自动记录，视为竞买人真实或经合法授权的行为，该行为所引起的法律责任由竞买人承担；</w:t>
      </w:r>
    </w:p>
    <w:p w14:paraId="62B44C42">
      <w:pPr>
        <w:pStyle w:val="9"/>
        <w:widowControl/>
        <w:spacing w:line="21" w:lineRule="atLeast"/>
        <w:ind w:firstLine="300" w:firstLineChars="10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（三）</w:t>
      </w:r>
      <w:r>
        <w:rPr>
          <w:rFonts w:hint="eastAsia" w:asciiTheme="minorEastAsia" w:hAnsiTheme="minorEastAsia" w:eastAsiaTheme="minorEastAsia" w:cstheme="minorEastAsia"/>
          <w:color w:val="auto"/>
          <w:sz w:val="30"/>
          <w:szCs w:val="30"/>
        </w:rPr>
        <w:t>竞买人应当妥善保管数字证书和密码。因竞买人电脑操作系统被侵入或其他自身原因导致数字证书遗失或密码泄漏等造成的损失，由竞买人自行承担。</w:t>
      </w:r>
    </w:p>
    <w:p w14:paraId="42A747BB">
      <w:pPr>
        <w:pStyle w:val="9"/>
        <w:pageBreakBefore w:val="0"/>
        <w:widowControl/>
        <w:kinsoku/>
        <w:wordWrap/>
        <w:overflowPunct/>
        <w:topLinePunct w:val="0"/>
        <w:autoSpaceDE/>
        <w:autoSpaceDN/>
        <w:bidi w:val="0"/>
        <w:adjustRightInd w:val="0"/>
        <w:snapToGrid/>
        <w:spacing w:line="360" w:lineRule="auto"/>
        <w:ind w:firstLine="300" w:firstLineChars="100"/>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lang w:eastAsia="zh-CN"/>
        </w:rPr>
        <w:t>（四）</w:t>
      </w:r>
      <w:r>
        <w:rPr>
          <w:rFonts w:hint="eastAsia" w:asciiTheme="minorEastAsia" w:hAnsiTheme="minorEastAsia" w:eastAsiaTheme="minorEastAsia" w:cstheme="minorEastAsia"/>
          <w:color w:val="auto"/>
          <w:sz w:val="30"/>
          <w:szCs w:val="30"/>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14:paraId="3D3FBC7F">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十三、有下列情形之一的，国有土地使用权交易行为应中止：</w:t>
      </w:r>
    </w:p>
    <w:p w14:paraId="27A9CD7A">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1、司法、监察机关因办理案件需要依法中止或者终止出让活动的；</w:t>
      </w:r>
    </w:p>
    <w:p w14:paraId="6C458C9D">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2、涉及宗地使用条件变更等影响宗地价格的重要变动需要重新审批的；</w:t>
      </w:r>
    </w:p>
    <w:p w14:paraId="057A10AB">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3、出现《内蒙古自治区自然资源网上交易应急处置办法（试行）》第三条所列情况的；</w:t>
      </w:r>
    </w:p>
    <w:p w14:paraId="55DB8BB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4、依法应当中止或终止挂牌活动的其他情形。</w:t>
      </w:r>
    </w:p>
    <w:p w14:paraId="089D9382">
      <w:pPr>
        <w:pStyle w:val="9"/>
        <w:keepNext w:val="0"/>
        <w:keepLines w:val="0"/>
        <w:widowControl/>
        <w:suppressLineNumbers w:val="0"/>
        <w:spacing w:before="0" w:beforeAutospacing="0" w:after="120" w:afterAutospacing="0" w:line="360" w:lineRule="auto"/>
        <w:ind w:left="0" w:right="0" w:firstLine="456"/>
        <w:jc w:val="left"/>
        <w:rPr>
          <w:rFonts w:hint="eastAsia" w:ascii="宋体" w:hAnsi="宋体" w:eastAsia="宋体" w:cs="宋体"/>
          <w:color w:val="auto"/>
          <w:sz w:val="30"/>
          <w:szCs w:val="30"/>
          <w:shd w:val="clear" w:fill="FFFFFF"/>
          <w:lang w:val="en-US" w:eastAsia="zh-CN"/>
        </w:rPr>
      </w:pPr>
      <w:r>
        <w:rPr>
          <w:rFonts w:hint="eastAsia" w:ascii="宋体" w:hAnsi="宋体" w:eastAsia="宋体" w:cs="宋体"/>
          <w:color w:val="auto"/>
          <w:sz w:val="30"/>
          <w:szCs w:val="30"/>
          <w:shd w:val="clear" w:fill="FFFFFF"/>
          <w:lang w:val="en-US" w:eastAsia="zh-CN"/>
        </w:rPr>
        <w:t>网上交易系统正常运行中，竞买人计算机用户端不能正常登录网上交易系统进行交易活动的，后果由竞买人申请人自行承担，网上挂牌交易活动不中止。</w:t>
      </w:r>
    </w:p>
    <w:p w14:paraId="54708CD7">
      <w:pPr>
        <w:pStyle w:val="9"/>
        <w:keepNext w:val="0"/>
        <w:keepLines w:val="0"/>
        <w:pageBreakBefore w:val="0"/>
        <w:widowControl/>
        <w:kinsoku/>
        <w:wordWrap/>
        <w:overflowPunct/>
        <w:topLinePunct w:val="0"/>
        <w:autoSpaceDE/>
        <w:autoSpaceDN/>
        <w:bidi w:val="0"/>
        <w:adjustRightInd w:val="0"/>
        <w:snapToGrid/>
        <w:spacing w:line="360" w:lineRule="auto"/>
        <w:ind w:firstLine="646"/>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国有土地使用权交易行为中止的原因消除后，应当及时恢复国有土地使用权交易。</w:t>
      </w:r>
    </w:p>
    <w:p w14:paraId="48C22FB5">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十四、出现以下情形之一的即视为竞得人违约，出让人有权解除《成交确认书》，并取消竞得人的资格,所交纳保证金不予退还。</w:t>
      </w:r>
    </w:p>
    <w:p w14:paraId="6C2BBE47">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（一）竞得人提供虚假材料的；</w:t>
      </w:r>
    </w:p>
    <w:p w14:paraId="3B1159F6">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（二）竞得人隐瞒事实，恶意串通或采取其他非法手段竞得的；</w:t>
      </w:r>
    </w:p>
    <w:p w14:paraId="5B215439">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（三）竞得人拒绝签订《成交确认书》；</w:t>
      </w:r>
    </w:p>
    <w:p w14:paraId="4DE502E8">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（四）竞得人</w:t>
      </w:r>
      <w:r>
        <w:rPr>
          <w:rFonts w:hint="eastAsia" w:asciiTheme="minorEastAsia" w:hAnsiTheme="minorEastAsia" w:eastAsiaTheme="minorEastAsia" w:cstheme="minorEastAsia"/>
          <w:color w:val="auto"/>
          <w:sz w:val="30"/>
          <w:szCs w:val="30"/>
          <w:lang w:eastAsia="zh-CN"/>
        </w:rPr>
        <w:t>逾期不</w:t>
      </w:r>
      <w:r>
        <w:rPr>
          <w:rFonts w:hint="eastAsia" w:asciiTheme="minorEastAsia" w:hAnsiTheme="minorEastAsia" w:eastAsiaTheme="minorEastAsia" w:cstheme="minorEastAsia"/>
          <w:color w:val="auto"/>
          <w:sz w:val="30"/>
          <w:szCs w:val="30"/>
        </w:rPr>
        <w:t>与出让人签订《国有土地使用权出让合同》</w:t>
      </w:r>
      <w:r>
        <w:rPr>
          <w:rFonts w:hint="eastAsia" w:asciiTheme="minorEastAsia" w:hAnsiTheme="minorEastAsia" w:eastAsiaTheme="minorEastAsia" w:cstheme="minorEastAsia"/>
          <w:color w:val="auto"/>
          <w:sz w:val="30"/>
          <w:szCs w:val="30"/>
          <w:lang w:eastAsia="zh-CN"/>
        </w:rPr>
        <w:t>或不按合同约定</w:t>
      </w:r>
      <w:r>
        <w:rPr>
          <w:rFonts w:hint="eastAsia" w:asciiTheme="minorEastAsia" w:hAnsiTheme="minorEastAsia" w:eastAsiaTheme="minorEastAsia" w:cstheme="minorEastAsia"/>
          <w:color w:val="auto"/>
          <w:sz w:val="30"/>
          <w:szCs w:val="30"/>
        </w:rPr>
        <w:t>缴纳土地出让</w:t>
      </w:r>
      <w:r>
        <w:rPr>
          <w:rFonts w:hint="eastAsia" w:asciiTheme="minorEastAsia" w:hAnsiTheme="minorEastAsia" w:eastAsiaTheme="minorEastAsia" w:cstheme="minorEastAsia"/>
          <w:color w:val="auto"/>
          <w:sz w:val="30"/>
          <w:szCs w:val="30"/>
          <w:lang w:eastAsia="zh-CN"/>
        </w:rPr>
        <w:t>价款</w:t>
      </w:r>
      <w:r>
        <w:rPr>
          <w:rFonts w:hint="eastAsia" w:asciiTheme="minorEastAsia" w:hAnsiTheme="minorEastAsia" w:eastAsiaTheme="minorEastAsia" w:cstheme="minorEastAsia"/>
          <w:color w:val="auto"/>
          <w:sz w:val="30"/>
          <w:szCs w:val="30"/>
        </w:rPr>
        <w:t>的。</w:t>
      </w:r>
    </w:p>
    <w:p w14:paraId="59473B11">
      <w:pPr>
        <w:pStyle w:val="9"/>
        <w:pageBreakBefore w:val="0"/>
        <w:widowControl/>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（五）公示期间有举报且经调查核实属违法违规行为的。</w:t>
      </w:r>
    </w:p>
    <w:p w14:paraId="08341391">
      <w:pPr>
        <w:pStyle w:val="5"/>
        <w:pageBreakBefore w:val="0"/>
        <w:kinsoku/>
        <w:wordWrap/>
        <w:overflowPunct/>
        <w:topLinePunct w:val="0"/>
        <w:autoSpaceDE/>
        <w:autoSpaceDN/>
        <w:bidi w:val="0"/>
        <w:adjustRightInd w:val="0"/>
        <w:snapToGrid/>
        <w:spacing w:line="360" w:lineRule="auto"/>
        <w:textAlignment w:val="auto"/>
        <w:rPr>
          <w:rFonts w:hint="eastAsia"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十五、竞买申请一经提交，即视为对交易规则、出让须知、宗地信息和条件、其他相关文件、宗地现状和可能存在的风险提示等无异议并完全接受</w:t>
      </w:r>
      <w:r>
        <w:rPr>
          <w:rFonts w:hint="eastAsia" w:cstheme="minorBidi"/>
          <w:b/>
          <w:color w:val="auto"/>
          <w:kern w:val="2"/>
          <w:sz w:val="32"/>
          <w:szCs w:val="24"/>
          <w:lang w:val="en-US" w:eastAsia="zh-CN" w:bidi="ar-SA"/>
        </w:rPr>
        <w:t>。</w:t>
      </w:r>
    </w:p>
    <w:p w14:paraId="3154DD2F">
      <w:pPr>
        <w:pStyle w:val="5"/>
        <w:pageBreakBefore w:val="0"/>
        <w:kinsoku/>
        <w:wordWrap/>
        <w:overflowPunct/>
        <w:topLinePunct w:val="0"/>
        <w:autoSpaceDE/>
        <w:autoSpaceDN/>
        <w:bidi w:val="0"/>
        <w:adjustRightInd w:val="0"/>
        <w:snapToGrid/>
        <w:spacing w:line="360" w:lineRule="auto"/>
        <w:textAlignment w:val="auto"/>
        <w:rPr>
          <w:rFonts w:hint="eastAsia" w:ascii="Arial" w:hAnsi="Arial" w:eastAsia="黑体" w:cstheme="minorBidi"/>
          <w:b/>
          <w:color w:val="auto"/>
          <w:kern w:val="2"/>
          <w:sz w:val="32"/>
          <w:szCs w:val="24"/>
          <w:lang w:val="en-US" w:eastAsia="zh-CN" w:bidi="ar-SA"/>
        </w:rPr>
      </w:pPr>
      <w:r>
        <w:rPr>
          <w:rFonts w:hint="eastAsia" w:ascii="Arial" w:hAnsi="Arial" w:eastAsia="黑体" w:cstheme="minorBidi"/>
          <w:b/>
          <w:color w:val="auto"/>
          <w:kern w:val="2"/>
          <w:sz w:val="32"/>
          <w:szCs w:val="24"/>
          <w:lang w:val="en-US" w:eastAsia="zh-CN" w:bidi="ar-SA"/>
        </w:rPr>
        <w:t>十六、林西县自然资源局对本《须知》有解释权，未尽事宜依照国土资源部颁布的《招标拍卖挂牌出让国有建设用地使用权规范（试行）》办理。</w:t>
      </w:r>
    </w:p>
    <w:p w14:paraId="76BFF642">
      <w:pPr>
        <w:pStyle w:val="9"/>
        <w:pageBreakBefore w:val="0"/>
        <w:widowControl/>
        <w:kinsoku/>
        <w:wordWrap/>
        <w:overflowPunct/>
        <w:topLinePunct w:val="0"/>
        <w:autoSpaceDE/>
        <w:autoSpaceDN/>
        <w:bidi w:val="0"/>
        <w:adjustRightInd w:val="0"/>
        <w:snapToGrid/>
        <w:spacing w:line="360" w:lineRule="auto"/>
        <w:jc w:val="right"/>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林西县</w:t>
      </w:r>
      <w:r>
        <w:rPr>
          <w:rFonts w:hint="eastAsia" w:asciiTheme="minorEastAsia" w:hAnsiTheme="minorEastAsia" w:eastAsiaTheme="minorEastAsia" w:cstheme="minorEastAsia"/>
          <w:color w:val="auto"/>
          <w:sz w:val="30"/>
          <w:szCs w:val="30"/>
          <w:highlight w:val="none"/>
        </w:rPr>
        <w:t>自然资源局</w:t>
      </w:r>
    </w:p>
    <w:p w14:paraId="4AE1072B">
      <w:pPr>
        <w:pStyle w:val="9"/>
        <w:pageBreakBefore w:val="0"/>
        <w:widowControl/>
        <w:kinsoku/>
        <w:wordWrap/>
        <w:overflowPunct/>
        <w:topLinePunct w:val="0"/>
        <w:autoSpaceDE/>
        <w:autoSpaceDN/>
        <w:bidi w:val="0"/>
        <w:adjustRightInd w:val="0"/>
        <w:snapToGrid/>
        <w:spacing w:line="360" w:lineRule="auto"/>
        <w:jc w:val="right"/>
        <w:textAlignment w:val="auto"/>
        <w:rPr>
          <w:rFonts w:hint="eastAsia"/>
          <w:highlight w:val="none"/>
          <w:lang w:eastAsia="zh-CN"/>
        </w:rPr>
      </w:pPr>
      <w:r>
        <w:rPr>
          <w:rFonts w:hint="eastAsia" w:asciiTheme="minorEastAsia" w:hAnsiTheme="minorEastAsia" w:cstheme="minorEastAsia"/>
          <w:color w:val="auto"/>
          <w:sz w:val="30"/>
          <w:szCs w:val="30"/>
          <w:highlight w:val="none"/>
          <w:lang w:eastAsia="zh-CN"/>
        </w:rPr>
        <w:t>202</w:t>
      </w:r>
      <w:r>
        <w:rPr>
          <w:rFonts w:hint="eastAsia" w:asciiTheme="minorEastAsia" w:hAnsiTheme="minorEastAsia" w:cstheme="minorEastAsia"/>
          <w:color w:val="auto"/>
          <w:sz w:val="30"/>
          <w:szCs w:val="30"/>
          <w:highlight w:val="none"/>
          <w:lang w:val="en-US" w:eastAsia="zh-CN"/>
        </w:rPr>
        <w:t>5</w:t>
      </w:r>
      <w:r>
        <w:rPr>
          <w:rFonts w:hint="eastAsia" w:asciiTheme="minorEastAsia" w:hAnsiTheme="minorEastAsia" w:cstheme="minorEastAsia"/>
          <w:color w:val="auto"/>
          <w:sz w:val="30"/>
          <w:szCs w:val="30"/>
          <w:highlight w:val="none"/>
          <w:lang w:eastAsia="zh-CN"/>
        </w:rPr>
        <w:t>年</w:t>
      </w:r>
      <w:r>
        <w:rPr>
          <w:rFonts w:hint="eastAsia" w:asciiTheme="minorEastAsia" w:hAnsiTheme="minorEastAsia" w:cstheme="minorEastAsia"/>
          <w:color w:val="auto"/>
          <w:sz w:val="30"/>
          <w:szCs w:val="30"/>
          <w:highlight w:val="none"/>
          <w:lang w:val="en-US" w:eastAsia="zh-CN"/>
        </w:rPr>
        <w:t>7</w:t>
      </w:r>
      <w:r>
        <w:rPr>
          <w:rFonts w:hint="eastAsia" w:asciiTheme="minorEastAsia" w:hAnsiTheme="minorEastAsia" w:cstheme="minorEastAsia"/>
          <w:color w:val="auto"/>
          <w:sz w:val="30"/>
          <w:szCs w:val="30"/>
          <w:highlight w:val="none"/>
          <w:lang w:eastAsia="zh-CN"/>
        </w:rPr>
        <w:t>月</w:t>
      </w:r>
      <w:r>
        <w:rPr>
          <w:rFonts w:hint="eastAsia" w:asciiTheme="minorEastAsia" w:hAnsiTheme="minorEastAsia" w:cstheme="minorEastAsia"/>
          <w:color w:val="auto"/>
          <w:sz w:val="30"/>
          <w:szCs w:val="30"/>
          <w:highlight w:val="none"/>
          <w:lang w:val="en-US" w:eastAsia="zh-CN"/>
        </w:rPr>
        <w:t>25</w:t>
      </w:r>
      <w:r>
        <w:rPr>
          <w:rFonts w:hint="eastAsia" w:asciiTheme="minorEastAsia" w:hAnsiTheme="minorEastAsia" w:cstheme="minorEastAsia"/>
          <w:color w:val="auto"/>
          <w:sz w:val="30"/>
          <w:szCs w:val="30"/>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2CEE8"/>
    <w:multiLevelType w:val="singleLevel"/>
    <w:tmpl w:val="2412CE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mZmNDY4MDAzYzZiMDMwMjQ0MWRhZjE4Y2Q2MjMifQ=="/>
  </w:docVars>
  <w:rsids>
    <w:rsidRoot w:val="00172A27"/>
    <w:rsid w:val="008953F8"/>
    <w:rsid w:val="00F66F31"/>
    <w:rsid w:val="01651699"/>
    <w:rsid w:val="017A671E"/>
    <w:rsid w:val="020B41F1"/>
    <w:rsid w:val="031511C4"/>
    <w:rsid w:val="035148F2"/>
    <w:rsid w:val="03BC7892"/>
    <w:rsid w:val="04966335"/>
    <w:rsid w:val="04BB149A"/>
    <w:rsid w:val="058B39C0"/>
    <w:rsid w:val="06624721"/>
    <w:rsid w:val="06F51084"/>
    <w:rsid w:val="07B41E8C"/>
    <w:rsid w:val="08206183"/>
    <w:rsid w:val="083422CF"/>
    <w:rsid w:val="08DF64FD"/>
    <w:rsid w:val="0A22035A"/>
    <w:rsid w:val="0B04208B"/>
    <w:rsid w:val="0B48314F"/>
    <w:rsid w:val="0B811AED"/>
    <w:rsid w:val="0C605BA6"/>
    <w:rsid w:val="0C7204BD"/>
    <w:rsid w:val="0C992E66"/>
    <w:rsid w:val="0D131801"/>
    <w:rsid w:val="0D8E49D2"/>
    <w:rsid w:val="0DEE0F90"/>
    <w:rsid w:val="0DF057FC"/>
    <w:rsid w:val="0F5C58BF"/>
    <w:rsid w:val="0FDD12BC"/>
    <w:rsid w:val="10466E61"/>
    <w:rsid w:val="11052878"/>
    <w:rsid w:val="11AA3332"/>
    <w:rsid w:val="12D20E80"/>
    <w:rsid w:val="135D69BC"/>
    <w:rsid w:val="14234885"/>
    <w:rsid w:val="14A95C11"/>
    <w:rsid w:val="15C6132B"/>
    <w:rsid w:val="15F62273"/>
    <w:rsid w:val="16ED6E78"/>
    <w:rsid w:val="17CA4D32"/>
    <w:rsid w:val="196810CF"/>
    <w:rsid w:val="19CA03FF"/>
    <w:rsid w:val="19CF16AF"/>
    <w:rsid w:val="1A302494"/>
    <w:rsid w:val="1A531537"/>
    <w:rsid w:val="1B8514C4"/>
    <w:rsid w:val="1D9A259A"/>
    <w:rsid w:val="1DEF28E6"/>
    <w:rsid w:val="1F1C342A"/>
    <w:rsid w:val="1F216AE7"/>
    <w:rsid w:val="1F845BA7"/>
    <w:rsid w:val="1FCE2BFA"/>
    <w:rsid w:val="20E611D5"/>
    <w:rsid w:val="21360272"/>
    <w:rsid w:val="216B497A"/>
    <w:rsid w:val="22266AF2"/>
    <w:rsid w:val="23072480"/>
    <w:rsid w:val="237A1EED"/>
    <w:rsid w:val="250F5ED9"/>
    <w:rsid w:val="25FB241D"/>
    <w:rsid w:val="26FD2518"/>
    <w:rsid w:val="27BA14B3"/>
    <w:rsid w:val="2AC05D36"/>
    <w:rsid w:val="2B41674B"/>
    <w:rsid w:val="2B431400"/>
    <w:rsid w:val="2B795EE5"/>
    <w:rsid w:val="2B8054C5"/>
    <w:rsid w:val="2B947423"/>
    <w:rsid w:val="2C33078A"/>
    <w:rsid w:val="2C46226B"/>
    <w:rsid w:val="2C5C0897"/>
    <w:rsid w:val="2CEA709A"/>
    <w:rsid w:val="2CEF5B5D"/>
    <w:rsid w:val="2E0917A2"/>
    <w:rsid w:val="2EAB2859"/>
    <w:rsid w:val="2ECF1709"/>
    <w:rsid w:val="2EE542C4"/>
    <w:rsid w:val="2EEE2746"/>
    <w:rsid w:val="2FB67708"/>
    <w:rsid w:val="30277719"/>
    <w:rsid w:val="3192579C"/>
    <w:rsid w:val="32172601"/>
    <w:rsid w:val="323112C7"/>
    <w:rsid w:val="32470AEB"/>
    <w:rsid w:val="329E36FA"/>
    <w:rsid w:val="32DC56D7"/>
    <w:rsid w:val="32E57432"/>
    <w:rsid w:val="334D2131"/>
    <w:rsid w:val="33C26C1D"/>
    <w:rsid w:val="33C53474"/>
    <w:rsid w:val="34CA0EB0"/>
    <w:rsid w:val="35B36925"/>
    <w:rsid w:val="374C530D"/>
    <w:rsid w:val="37755C5F"/>
    <w:rsid w:val="3809239F"/>
    <w:rsid w:val="38956E53"/>
    <w:rsid w:val="38BC09B2"/>
    <w:rsid w:val="393C6ED0"/>
    <w:rsid w:val="39A865E9"/>
    <w:rsid w:val="3C074E47"/>
    <w:rsid w:val="3C13718D"/>
    <w:rsid w:val="3CF74EBC"/>
    <w:rsid w:val="3D4D2D2E"/>
    <w:rsid w:val="3DED69EA"/>
    <w:rsid w:val="3E216694"/>
    <w:rsid w:val="3EA352FB"/>
    <w:rsid w:val="3EDC080D"/>
    <w:rsid w:val="3EDE27D7"/>
    <w:rsid w:val="3FDE1732"/>
    <w:rsid w:val="40153FD6"/>
    <w:rsid w:val="40F40090"/>
    <w:rsid w:val="40F97454"/>
    <w:rsid w:val="411C7DC3"/>
    <w:rsid w:val="41C71300"/>
    <w:rsid w:val="42242151"/>
    <w:rsid w:val="42755200"/>
    <w:rsid w:val="42A258CA"/>
    <w:rsid w:val="445D20CC"/>
    <w:rsid w:val="44727885"/>
    <w:rsid w:val="448072C5"/>
    <w:rsid w:val="44CE6E4A"/>
    <w:rsid w:val="45263629"/>
    <w:rsid w:val="457B2F5C"/>
    <w:rsid w:val="45BE6EBE"/>
    <w:rsid w:val="46E87B2F"/>
    <w:rsid w:val="47D26C51"/>
    <w:rsid w:val="48B325DE"/>
    <w:rsid w:val="49541999"/>
    <w:rsid w:val="495C0E09"/>
    <w:rsid w:val="49675177"/>
    <w:rsid w:val="49782972"/>
    <w:rsid w:val="497955D6"/>
    <w:rsid w:val="49F7299F"/>
    <w:rsid w:val="4A083767"/>
    <w:rsid w:val="4A371407"/>
    <w:rsid w:val="4BB70638"/>
    <w:rsid w:val="4CC528E0"/>
    <w:rsid w:val="4CC65036"/>
    <w:rsid w:val="4D435556"/>
    <w:rsid w:val="4D71116D"/>
    <w:rsid w:val="4D9C451A"/>
    <w:rsid w:val="4E8B398A"/>
    <w:rsid w:val="4F443F90"/>
    <w:rsid w:val="4F4C553B"/>
    <w:rsid w:val="50092CB5"/>
    <w:rsid w:val="50D160D8"/>
    <w:rsid w:val="51041A36"/>
    <w:rsid w:val="51953EC8"/>
    <w:rsid w:val="51DC2BA6"/>
    <w:rsid w:val="51F8531C"/>
    <w:rsid w:val="520424B2"/>
    <w:rsid w:val="527624DA"/>
    <w:rsid w:val="527C54D8"/>
    <w:rsid w:val="5292555D"/>
    <w:rsid w:val="52EA7718"/>
    <w:rsid w:val="53751E87"/>
    <w:rsid w:val="53854553"/>
    <w:rsid w:val="564C32F6"/>
    <w:rsid w:val="571E77BD"/>
    <w:rsid w:val="59170968"/>
    <w:rsid w:val="599A672C"/>
    <w:rsid w:val="599D533F"/>
    <w:rsid w:val="5A2309DB"/>
    <w:rsid w:val="5A331DE9"/>
    <w:rsid w:val="5D547BC0"/>
    <w:rsid w:val="5E525F9E"/>
    <w:rsid w:val="5E5B4E53"/>
    <w:rsid w:val="5EA745C4"/>
    <w:rsid w:val="5ED23437"/>
    <w:rsid w:val="5F724B4A"/>
    <w:rsid w:val="5F877924"/>
    <w:rsid w:val="5FDE3F8D"/>
    <w:rsid w:val="60A96349"/>
    <w:rsid w:val="60EB1F14"/>
    <w:rsid w:val="60FB38AE"/>
    <w:rsid w:val="611B257F"/>
    <w:rsid w:val="6171498D"/>
    <w:rsid w:val="627B3D15"/>
    <w:rsid w:val="62D92FA1"/>
    <w:rsid w:val="62EF0F3C"/>
    <w:rsid w:val="639E3665"/>
    <w:rsid w:val="63A94903"/>
    <w:rsid w:val="64201EC1"/>
    <w:rsid w:val="65C23A09"/>
    <w:rsid w:val="65DF280D"/>
    <w:rsid w:val="66AD290B"/>
    <w:rsid w:val="672A7B34"/>
    <w:rsid w:val="68447C9B"/>
    <w:rsid w:val="6853303E"/>
    <w:rsid w:val="68E65C61"/>
    <w:rsid w:val="69396C82"/>
    <w:rsid w:val="6A867A45"/>
    <w:rsid w:val="6AF01018"/>
    <w:rsid w:val="6AF1726A"/>
    <w:rsid w:val="6B3D74C9"/>
    <w:rsid w:val="6BCC443F"/>
    <w:rsid w:val="6C0E79A8"/>
    <w:rsid w:val="6D082649"/>
    <w:rsid w:val="6D1159A2"/>
    <w:rsid w:val="6DE22E3B"/>
    <w:rsid w:val="6EA168B2"/>
    <w:rsid w:val="6EA97596"/>
    <w:rsid w:val="6F315E48"/>
    <w:rsid w:val="6FA56875"/>
    <w:rsid w:val="705D2856"/>
    <w:rsid w:val="70C519BA"/>
    <w:rsid w:val="71147D5F"/>
    <w:rsid w:val="713D673C"/>
    <w:rsid w:val="719324DE"/>
    <w:rsid w:val="71F1677E"/>
    <w:rsid w:val="7315161C"/>
    <w:rsid w:val="73D47729"/>
    <w:rsid w:val="749A061B"/>
    <w:rsid w:val="751944F9"/>
    <w:rsid w:val="76A42220"/>
    <w:rsid w:val="76FF0666"/>
    <w:rsid w:val="77CE6DA1"/>
    <w:rsid w:val="780F5BAA"/>
    <w:rsid w:val="7A001B72"/>
    <w:rsid w:val="7B3F0DB1"/>
    <w:rsid w:val="7B4707E1"/>
    <w:rsid w:val="7B94742F"/>
    <w:rsid w:val="7C14090C"/>
    <w:rsid w:val="7C39281F"/>
    <w:rsid w:val="7C4D62CB"/>
    <w:rsid w:val="7CE50FF2"/>
    <w:rsid w:val="7D5B67C5"/>
    <w:rsid w:val="7DE34A71"/>
    <w:rsid w:val="7F1E3F4E"/>
    <w:rsid w:val="7F5C75F3"/>
    <w:rsid w:val="7FD3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240" w:beforeAutospacing="0" w:after="120" w:afterAutospacing="0" w:line="13" w:lineRule="atLeast"/>
      <w:jc w:val="left"/>
    </w:pPr>
    <w:rPr>
      <w:rFonts w:hint="eastAsia" w:ascii="宋体" w:hAnsi="宋体" w:eastAsia="宋体" w:cs="宋体"/>
      <w:b/>
      <w:kern w:val="0"/>
      <w:sz w:val="28"/>
      <w:szCs w:val="28"/>
      <w:lang w:val="en-US" w:eastAsia="zh-CN" w:bidi="ar"/>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0" w:after="120" w:afterAutospacing="0"/>
      <w:ind w:left="0" w:right="0"/>
      <w:jc w:val="left"/>
    </w:pPr>
    <w:rPr>
      <w:kern w:val="0"/>
      <w:sz w:val="24"/>
      <w:lang w:val="en-US" w:eastAsia="zh-CN" w:bidi="ar"/>
    </w:rPr>
  </w:style>
  <w:style w:type="character" w:styleId="12">
    <w:name w:val="Strong"/>
    <w:basedOn w:val="11"/>
    <w:autoRedefine/>
    <w:qFormat/>
    <w:uiPriority w:val="0"/>
    <w:rPr>
      <w:b/>
      <w:bCs/>
    </w:rPr>
  </w:style>
  <w:style w:type="character" w:styleId="13">
    <w:name w:val="FollowedHyperlink"/>
    <w:basedOn w:val="11"/>
    <w:qFormat/>
    <w:uiPriority w:val="0"/>
    <w:rPr>
      <w:color w:val="337AB7"/>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337AB7"/>
      <w:u w:val="none"/>
    </w:rPr>
  </w:style>
  <w:style w:type="character" w:styleId="16">
    <w:name w:val="HTML Code"/>
    <w:basedOn w:val="11"/>
    <w:autoRedefine/>
    <w:qFormat/>
    <w:uiPriority w:val="0"/>
    <w:rPr>
      <w:rFonts w:ascii="Consolas" w:hAnsi="Consolas" w:eastAsia="Consolas" w:cs="Consolas"/>
      <w:color w:val="C7254E"/>
      <w:sz w:val="21"/>
      <w:szCs w:val="21"/>
      <w:shd w:val="clear"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fill="333333"/>
    </w:rPr>
  </w:style>
  <w:style w:type="character" w:styleId="18">
    <w:name w:val="HTML Sample"/>
    <w:basedOn w:val="11"/>
    <w:autoRedefine/>
    <w:qFormat/>
    <w:uiPriority w:val="0"/>
    <w:rPr>
      <w:rFonts w:hint="default" w:ascii="Consolas" w:hAnsi="Consolas" w:eastAsia="Consolas" w:cs="Consolas"/>
      <w:sz w:val="21"/>
      <w:szCs w:val="21"/>
    </w:rPr>
  </w:style>
  <w:style w:type="character" w:customStyle="1" w:styleId="19">
    <w:name w:val="hover7"/>
    <w:basedOn w:val="11"/>
    <w:autoRedefine/>
    <w:qFormat/>
    <w:uiPriority w:val="0"/>
    <w:rPr>
      <w:shd w:val="clear" w:fill="F3F3F3"/>
    </w:rPr>
  </w:style>
  <w:style w:type="character" w:customStyle="1" w:styleId="20">
    <w:name w:val="hover8"/>
    <w:basedOn w:val="11"/>
    <w:autoRedefine/>
    <w:qFormat/>
    <w:uiPriority w:val="0"/>
    <w:rPr>
      <w:sz w:val="16"/>
      <w:szCs w:val="16"/>
    </w:rPr>
  </w:style>
  <w:style w:type="character" w:customStyle="1" w:styleId="21">
    <w:name w:val="hover9"/>
    <w:basedOn w:val="11"/>
    <w:autoRedefine/>
    <w:qFormat/>
    <w:uiPriority w:val="0"/>
    <w:rPr>
      <w:shd w:val="clear" w:fill="F3F3F3"/>
    </w:rPr>
  </w:style>
  <w:style w:type="character" w:customStyle="1" w:styleId="22">
    <w:name w:val="hover"/>
    <w:basedOn w:val="11"/>
    <w:autoRedefine/>
    <w:qFormat/>
    <w:uiPriority w:val="0"/>
    <w:rPr>
      <w:shd w:val="clear" w:fill="F3F3F3"/>
    </w:rPr>
  </w:style>
  <w:style w:type="character" w:customStyle="1" w:styleId="23">
    <w:name w:val="hover1"/>
    <w:basedOn w:val="11"/>
    <w:autoRedefine/>
    <w:qFormat/>
    <w:uiPriority w:val="0"/>
    <w:rPr>
      <w:shd w:val="clear" w:fill="F3F3F3"/>
    </w:rPr>
  </w:style>
  <w:style w:type="character" w:customStyle="1" w:styleId="24">
    <w:name w:val="hover2"/>
    <w:basedOn w:val="11"/>
    <w:autoRedefin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6445</Words>
  <Characters>7067</Characters>
  <Lines>0</Lines>
  <Paragraphs>0</Paragraphs>
  <TotalTime>2</TotalTime>
  <ScaleCrop>false</ScaleCrop>
  <LinksUpToDate>false</LinksUpToDate>
  <CharactersWithSpaces>7095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2021-09-10T01:23:00Z</dcterms:created>
  <dc:creator>99196</dc:creator>
  <cp:lastModifiedBy>domonoly</cp:lastModifiedBy>
  <cp:lastPrinted>2025-05-17T06:26:00Z</cp:lastPrinted>
  <dcterms:modified xsi:type="dcterms:W3CDTF">2025-07-24T10:40:17Z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50F185226AF5460494018CA08D95AE5E</vt:lpwstr>
  </property>
  <property fmtid="{D5CDD505-2E9C-101B-9397-08002B2CF9AE}" pid="4" name="commondata">
    <vt:lpwstr>eyJoZGlkIjoiZmE3YTcxZGVlZTRiMGUyN2M3YzZiMDUwZjg0ZmIzODMifQ==</vt:lpwstr>
  </property>
  <property fmtid="{D5CDD505-2E9C-101B-9397-08002B2CF9AE}" pid="5" name="KSOTemplateDocerSaveRecord">
    <vt:lpwstr>eyJoZGlkIjoiYjdlNmZmNDY4MDAzYzZiMDMwMjQ0MWRhZjE4Y2Q2MjMiLCJ1c2VySWQiOiIyNDI1MTEwOTMifQ==</vt:lpwstr>
  </property>
</Properties>
</file>