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A0E92">
      <w:pPr>
        <w:pStyle w:val="14"/>
        <w:widowControl/>
      </w:pPr>
      <w:bookmarkStart w:id="0" w:name="_GoBack"/>
      <w:r>
        <w:t>内蒙古自治区粮食应急保障企业</w:t>
      </w:r>
      <w:r>
        <w:br w:type="textWrapping"/>
      </w:r>
      <w:r>
        <w:t>管理实施细则</w:t>
      </w:r>
    </w:p>
    <w:bookmarkEnd w:id="0"/>
    <w:p w14:paraId="6070387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 </w:t>
      </w:r>
    </w:p>
    <w:p w14:paraId="78ADB5F8">
      <w:pPr>
        <w:pStyle w:val="2"/>
        <w:widowControl/>
        <w:numPr>
          <w:ilvl w:val="0"/>
          <w:numId w:val="1"/>
        </w:numPr>
        <w:ind w:left="0" w:leftChars="0" w:firstLine="0" w:firstLineChars="0"/>
        <w:rPr>
          <w:b w:val="0"/>
          <w:bdr w:val="none" w:sz="0" w:space="0"/>
        </w:rPr>
      </w:pPr>
      <w:r>
        <w:t> 总则</w:t>
      </w:r>
    </w:p>
    <w:p w14:paraId="44EE57A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1EF10D2B">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 为加强全区粮食应急保障体系建设，进一步规范粮食应急保障企业管理，根据《粮食安全保障法》《粮食流通管理条例》《粮食应急保障企业管理办法》等有关法律法规和政策规定，制定本细则。</w:t>
      </w:r>
    </w:p>
    <w:p w14:paraId="34194792">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本细则所称粮食应急保障企业，是指经自治区、盟市、旗县三级粮食和储备行政管理部门确定，承担粮食（含食用植物油，下同）应急保障任务的企业或其他市场主体。粮食应急保障企业包括应急储运企业、应急加工企业、应急配送中心、应急供应网点和应急保障中心等五种类型。</w:t>
      </w:r>
    </w:p>
    <w:p w14:paraId="55F1890C">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按照“以人为本、生命至上，科学布局、全面覆盖，平时自营、急时应急”的要求，充分整合现有资源，统筹规划应急储运、加工、配送、供应网点布局，建立和完善响应迅速、运转高效、保障有力的粮食应急保障体系。</w:t>
      </w:r>
    </w:p>
    <w:p w14:paraId="29820BE1">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盟市级粮食和储备行政管理部门应加强粮食应急保障企业应急协同，推动各类粮食应急保障企业高效完成应急保障任务。</w:t>
      </w:r>
    </w:p>
    <w:p w14:paraId="161F2ACA">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粮食应急保障企业的管理，应坚持自愿申报、动员推荐、择优确定、分级负责、逐级备案、动态调整、强化监管的原则，充分发挥各级应急保障企业示范带动作用。</w:t>
      </w:r>
    </w:p>
    <w:p w14:paraId="4ABB269F">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粮食应急保障企业的有关信息应主动公开，法律法规规定不予公开的除外。</w:t>
      </w:r>
    </w:p>
    <w:p w14:paraId="6DEB3D29">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粮食应急保障企业按照“平时自营、急时应急”的原则，应急时按照各级政府指令和自身功能定位，承担相应的应急保障职责。</w:t>
      </w:r>
    </w:p>
    <w:p w14:paraId="72D3D8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27454494">
      <w:pPr>
        <w:pStyle w:val="2"/>
        <w:widowControl/>
        <w:numPr>
          <w:ilvl w:val="0"/>
          <w:numId w:val="1"/>
        </w:numPr>
        <w:ind w:left="0" w:leftChars="0" w:firstLine="0" w:firstLineChars="0"/>
        <w:rPr>
          <w:b w:val="0"/>
          <w:bdr w:val="none" w:sz="0" w:space="0"/>
        </w:rPr>
      </w:pPr>
      <w:r>
        <w:t>     规划和布局</w:t>
      </w:r>
    </w:p>
    <w:p w14:paraId="0ED71C4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40" w:right="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248D84E5">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粮食应急保障企业应科学布局，分级管理，实现应急保障能力全面覆盖。</w:t>
      </w:r>
    </w:p>
    <w:p w14:paraId="0D329D91">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储运企业主要承担政府储备、企业社会责任储备和商品库存等应急粮源的储备、出库、运输等职责。盟市所辖区由盟市粮食和储备部门统筹设置，有条件的应实现每个旗县至少有1家粮食应急储运企业。各地应统筹配置区域粮食运输能力，确保应急状态下运输动员和调度需要。</w:t>
      </w:r>
    </w:p>
    <w:p w14:paraId="147A53DD">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加工企业主要承担各类应急粮源的应急加工、分装、出库、投放等职责。各盟市应力争实现应急加工企业旗（县、区）全覆盖，并实现应急加工能力与应急供应需求相匹配，位置偏远或应急加工能力较薄弱的旗（县、区）可通过政府补贴或跨区域合作方式保障应急加工能力，各盟市粮食和储备部门统筹为各旗（县、区）确定相应的应急加工企业。</w:t>
      </w:r>
    </w:p>
    <w:p w14:paraId="2C25FE38">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配送中心主要承担应急成品粮油的集中接收、分流配送等职责，应以盟市为单位进行布局。有条件的地区可在人口较集中、交通便利的旗（县、区）进行布局。各盟市至少设置1家粮食应急配送中心，加强与连锁企业、大型物流公司、电商平台、外卖平台等企业合作，提升快速配送和供应能力。</w:t>
      </w:r>
    </w:p>
    <w:p w14:paraId="04207EB1">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供应网点主要承担承接投放的应急粮源并进行有序供应职责。粮食应急供应网点应实现乡镇（街道）全覆盖，每个乡镇（街道）至少有1个粮食应急供应网点。各乡镇（街道）的粮食应急供应网点原则上需设在相应乡镇、街道辖区内，街道确实不具备设点条件的，应在邻近街道增设应急供应网点进行对口保障。呼和浩特市城区粮食应急供应网点设置除满足以上要求外，还应满足每3万人或每个社区1个应急供应网点的要求。</w:t>
      </w:r>
    </w:p>
    <w:p w14:paraId="2B3EC1C1">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中心承担从储备到加工、运输、投放、供应全链条应急保障职责，可以为同时具备粮油储存、加工、配送、供应等多种功能的单个企业，也可以为若干个企业的联合体。粮食应急保障中心原则上以盟市为单位进行布局。鼓励邻近盟市之间通过优势互补、统筹资源组建跨盟市的区域粮食应急保障中心。有条件的地区也可以在人口较集中的旗（县、区）布局粮食应急保障中心。</w:t>
      </w:r>
    </w:p>
    <w:p w14:paraId="506CAB23">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 各地应结合企业意愿和保障能力，加大动员力度，推动辖区内具备条件的企业积极申报粮食应急保障企业，优先确定保障能力较强的企业为粮食应急保障企业，承担粮食应急保障职责。</w:t>
      </w:r>
    </w:p>
    <w:p w14:paraId="7765F9D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4DB1330D">
      <w:pPr>
        <w:pStyle w:val="2"/>
        <w:widowControl/>
        <w:numPr>
          <w:ilvl w:val="0"/>
          <w:numId w:val="1"/>
        </w:numPr>
        <w:ind w:left="0" w:leftChars="0" w:firstLine="0" w:firstLineChars="0"/>
        <w:rPr>
          <w:b w:val="0"/>
          <w:bdr w:val="none" w:sz="0" w:space="0"/>
        </w:rPr>
      </w:pPr>
      <w:r>
        <w:t>     条件和标准</w:t>
      </w:r>
    </w:p>
    <w:p w14:paraId="042787F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40" w:right="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012708CE">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粮食应急保障企业应具备以下基本条件：</w:t>
      </w:r>
    </w:p>
    <w:p w14:paraId="54A364B0">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严格执行国家有关法律法规和政策规定，生产经营正常，守法诚信、信誉良好，无违法经营行为；</w:t>
      </w:r>
    </w:p>
    <w:p w14:paraId="0497F5E8">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生产经营的粮食产品质量指标和食品安全指标应符合国家标准、行业标准，近一年内未发生质量安全事故，在粮食质量抽样检测中未出现不达标的情况；</w:t>
      </w:r>
    </w:p>
    <w:p w14:paraId="025B8D90">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生产经营环境符合要求，严格落实污染防护有关规定，生产、储存、运输等相关设施、设备能够确保粮食不受到污染；</w:t>
      </w:r>
    </w:p>
    <w:p w14:paraId="2DA8181A">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严格落实安全生产有关规定，近一年内未发生安全生产责任事故或存在重大安全生产隐患；</w:t>
      </w:r>
    </w:p>
    <w:p w14:paraId="1BA06792">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按规定向当地粮食和储备行政管理部门报送统计数据。</w:t>
      </w:r>
    </w:p>
    <w:p w14:paraId="4C0B6F2B">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确保粮食应急保障企业有效运行。</w:t>
      </w:r>
    </w:p>
    <w:p w14:paraId="63BECB0B">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粮食应急储运企业应当具备以下条件：</w:t>
      </w:r>
    </w:p>
    <w:p w14:paraId="4B4DC21A">
      <w:pPr>
        <w:pStyle w:val="11"/>
        <w:widowControl/>
        <w:numPr>
          <w:ilvl w:val="0"/>
          <w:numId w:val="6"/>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具备符合国家要求的原粮和成品粮储存仓库及其配套设施；</w:t>
      </w:r>
    </w:p>
    <w:p w14:paraId="40B61C34">
      <w:pPr>
        <w:pStyle w:val="11"/>
        <w:widowControl/>
        <w:numPr>
          <w:ilvl w:val="0"/>
          <w:numId w:val="6"/>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应以承担地方事权粮食收储轮换任务为主；</w:t>
      </w:r>
    </w:p>
    <w:p w14:paraId="5E378567">
      <w:pPr>
        <w:pStyle w:val="11"/>
        <w:widowControl/>
        <w:numPr>
          <w:ilvl w:val="0"/>
          <w:numId w:val="6"/>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仓库使用面积应满足应急供应需要，区位条件能够较好满足辖区运输配送需要，具备一定的运输配送能力，自有或协议合作运输车辆需覆盖辖区主要交通节点；</w:t>
      </w:r>
    </w:p>
    <w:p w14:paraId="16B79A7C">
      <w:pPr>
        <w:pStyle w:val="11"/>
        <w:widowControl/>
        <w:numPr>
          <w:ilvl w:val="0"/>
          <w:numId w:val="6"/>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具有相应的检化验仪器和检化验能力。</w:t>
      </w:r>
    </w:p>
    <w:p w14:paraId="2EFD0950">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粮食应急加工企业应当具备以下条件：</w:t>
      </w:r>
    </w:p>
    <w:p w14:paraId="1B69CDD8">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取得《食品生产许可证》和商标注册证书，标签标识符合有关规定要求；</w:t>
      </w:r>
    </w:p>
    <w:p w14:paraId="766F9DCD">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粮源充足、交通便利，具备较强的粮食应急加工能力和小包装粮油生产能力，具备一定的仓储、运输能力；</w:t>
      </w:r>
    </w:p>
    <w:p w14:paraId="3C043530">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具备生产合格产品所需的工艺设备、检化验仪器和检化验能力；</w:t>
      </w:r>
    </w:p>
    <w:p w14:paraId="78626148">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从业人员应具备岗位所需的国家职业资格。</w:t>
      </w:r>
    </w:p>
    <w:p w14:paraId="1417234B">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粮食应急配送中心应当具备以下条件：</w:t>
      </w:r>
    </w:p>
    <w:p w14:paraId="6674A2BB">
      <w:pPr>
        <w:pStyle w:val="11"/>
        <w:widowControl/>
        <w:numPr>
          <w:ilvl w:val="0"/>
          <w:numId w:val="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具备符合国家分类商品的仓储条件或周转仓容；</w:t>
      </w:r>
    </w:p>
    <w:p w14:paraId="10A05324">
      <w:pPr>
        <w:pStyle w:val="11"/>
        <w:widowControl/>
        <w:numPr>
          <w:ilvl w:val="0"/>
          <w:numId w:val="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配送能力符合应急布局需要，有较成熟的配送渠道；</w:t>
      </w:r>
    </w:p>
    <w:p w14:paraId="36DF1B02">
      <w:pPr>
        <w:pStyle w:val="11"/>
        <w:widowControl/>
        <w:numPr>
          <w:ilvl w:val="0"/>
          <w:numId w:val="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在应急状态下具备较强的动员调度能力，能够满足定点快捷配送粮食需求；</w:t>
      </w:r>
    </w:p>
    <w:p w14:paraId="763EC4B9">
      <w:pPr>
        <w:pStyle w:val="11"/>
        <w:widowControl/>
        <w:numPr>
          <w:ilvl w:val="0"/>
          <w:numId w:val="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有满足配送业务需要的箱式密闭运输车辆及停车场，有必要的转运和输送机械等装卸设备；</w:t>
      </w:r>
    </w:p>
    <w:p w14:paraId="426230C4">
      <w:pPr>
        <w:pStyle w:val="11"/>
        <w:widowControl/>
        <w:numPr>
          <w:ilvl w:val="0"/>
          <w:numId w:val="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落实商品索证索票制度，配送经营的粮食产品必须符合有关质量安全标准。</w:t>
      </w:r>
    </w:p>
    <w:p w14:paraId="6AD40225">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粮食应急供应网点应当具备以下条件：</w:t>
      </w:r>
    </w:p>
    <w:p w14:paraId="2B506BAF">
      <w:pPr>
        <w:pStyle w:val="11"/>
        <w:widowControl/>
        <w:numPr>
          <w:ilvl w:val="0"/>
          <w:numId w:val="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日常运转正常，位于物流配送和居民采购均较为便利的位置；</w:t>
      </w:r>
    </w:p>
    <w:p w14:paraId="70B5318B">
      <w:pPr>
        <w:pStyle w:val="11"/>
        <w:widowControl/>
        <w:numPr>
          <w:ilvl w:val="0"/>
          <w:numId w:val="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经营商品应以粮油产品和居民日用消费品为主，销售的商品均应明码标价；</w:t>
      </w:r>
    </w:p>
    <w:p w14:paraId="51E9D84C">
      <w:pPr>
        <w:pStyle w:val="11"/>
        <w:widowControl/>
        <w:numPr>
          <w:ilvl w:val="0"/>
          <w:numId w:val="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具备与经营商品和规模相匹配的陈列货架或柜台，营业场所内装修规范，店容店貌整洁，严格执行质量、卫生、消防等管理规定；</w:t>
      </w:r>
    </w:p>
    <w:p w14:paraId="6AAE614B">
      <w:pPr>
        <w:pStyle w:val="11"/>
        <w:widowControl/>
        <w:numPr>
          <w:ilvl w:val="0"/>
          <w:numId w:val="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仓储能力和库房条件应满足应急保供需要；</w:t>
      </w:r>
    </w:p>
    <w:p w14:paraId="017B5EBD">
      <w:pPr>
        <w:pStyle w:val="11"/>
        <w:widowControl/>
        <w:numPr>
          <w:ilvl w:val="0"/>
          <w:numId w:val="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配备满足经营需要的通讯设施。</w:t>
      </w:r>
    </w:p>
    <w:p w14:paraId="5CB5A622">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粮食应急保障中心应当具备以下条件：</w:t>
      </w:r>
    </w:p>
    <w:p w14:paraId="591F4651">
      <w:pPr>
        <w:pStyle w:val="11"/>
        <w:widowControl/>
        <w:numPr>
          <w:ilvl w:val="0"/>
          <w:numId w:val="1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满足粮食仓储、加工、配送和供应等两种及以上功能指标；</w:t>
      </w:r>
    </w:p>
    <w:p w14:paraId="0E267878">
      <w:pPr>
        <w:pStyle w:val="11"/>
        <w:widowControl/>
        <w:numPr>
          <w:ilvl w:val="0"/>
          <w:numId w:val="1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具备一定规模的成品粮油储备库存；</w:t>
      </w:r>
    </w:p>
    <w:p w14:paraId="5C0B28FE">
      <w:pPr>
        <w:pStyle w:val="11"/>
        <w:widowControl/>
        <w:numPr>
          <w:ilvl w:val="0"/>
          <w:numId w:val="1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具备较强的应急调度功能和动员能力，确保在接到应急指令后按时限要求将成品粮油配送至指定位置。</w:t>
      </w:r>
    </w:p>
    <w:p w14:paraId="0FF60D15">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储运企业、加工企业、配送中心、供应网点能分别满足仓储、加工、运输、供应企业应具备的应急各项能力细分指标标准（附件1）之一的，即达到相应粮食应急保障企业能力标准。其中，应急储运企业和应急配送中心细分指标四项：库房仓容、油罐罐容、日运输能力、自有车辆日运输能力；应急加工企业细分指标四项：小麦日加工能力、稻谷日加工能力、油脂分装日加工能力、其他日加工能力；应急供应网点细分指标四项：小麦粉设计日供应能力、大米设计日供应能力、食用油设计日供应能力、其他设计日供应能力。</w:t>
      </w:r>
    </w:p>
    <w:p w14:paraId="0AACCA1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7212F2C0">
      <w:pPr>
        <w:pStyle w:val="2"/>
        <w:widowControl/>
        <w:numPr>
          <w:ilvl w:val="0"/>
          <w:numId w:val="1"/>
        </w:numPr>
        <w:ind w:left="0" w:leftChars="0" w:firstLine="0" w:firstLineChars="0"/>
        <w:rPr>
          <w:b w:val="0"/>
          <w:bdr w:val="none" w:sz="0" w:space="0"/>
        </w:rPr>
      </w:pPr>
      <w:r>
        <w:t>    确定和备案程序</w:t>
      </w:r>
    </w:p>
    <w:p w14:paraId="5538B3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right="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3496D8C2">
      <w:pPr>
        <w:pStyle w:val="11"/>
        <w:widowControl/>
        <w:numPr>
          <w:ilvl w:val="0"/>
          <w:numId w:val="11"/>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粮食应急保障企业按照《粮食应急保障企业管理办法》有关规定和“分级确定、逐级备案”的原则，由各级粮食和物资储备部门负责确定，并逐级上报备案。</w:t>
      </w:r>
    </w:p>
    <w:p w14:paraId="19AFB8C4">
      <w:pPr>
        <w:pStyle w:val="11"/>
        <w:widowControl/>
        <w:numPr>
          <w:ilvl w:val="0"/>
          <w:numId w:val="11"/>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粮食应急保障企业的确定和备案的主要步骤：</w:t>
      </w:r>
    </w:p>
    <w:p w14:paraId="6989E70D">
      <w:pPr>
        <w:pStyle w:val="11"/>
        <w:widowControl/>
        <w:numPr>
          <w:ilvl w:val="0"/>
          <w:numId w:val="1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企业申报。每年底，各级粮食和储备行政管理部门按照粮食应急工作实际和布局规划，积极组织动员辖区内符合条件要求、有社会责任感的涉粮企业，积极申报粮食应急保障企业。</w:t>
      </w:r>
    </w:p>
    <w:p w14:paraId="7F4F7A28">
      <w:pPr>
        <w:pStyle w:val="11"/>
        <w:widowControl/>
        <w:numPr>
          <w:ilvl w:val="0"/>
          <w:numId w:val="1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初步审核。各级粮食和储备行政管理部门应在“国家企业信用信息公示系统”查询企业是否存续，并对其申报材料进行审核，统筹考虑有关条件和标准、粮食应急保障规划布局等，择优拟定本级或推荐为上级粮食应急保障企业。</w:t>
      </w:r>
    </w:p>
    <w:p w14:paraId="67C87EDA">
      <w:pPr>
        <w:pStyle w:val="11"/>
        <w:widowControl/>
        <w:numPr>
          <w:ilvl w:val="0"/>
          <w:numId w:val="1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核查公示。各级粮食和储备行政管理部门可组织对备选企业的相关条件进行实地查看，也可委托下级粮食和储备行政管理部门代为实地查看，应重点核查企业报送信息的真实性。实地查看期间，发现企业有资料弄虚作假或其他不符合要求情形的，不得作为确定对象。实地查看无异议的，按程序确定并予以公示，公示期一般不少于3天，公示结束且无异议的确定为粮食应急保障企业。</w:t>
      </w:r>
    </w:p>
    <w:p w14:paraId="0D2C6F67">
      <w:pPr>
        <w:pStyle w:val="11"/>
        <w:widowControl/>
        <w:numPr>
          <w:ilvl w:val="0"/>
          <w:numId w:val="1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签订协议。各级粮食和储备行政管理部门应与确定的粮食应急保障企业签订《粮食应急保障协议书》（附件2），约定权利、责任、义务，并授予牌匾，牌匾应悬挂在经营场所显眼位置。</w:t>
      </w:r>
    </w:p>
    <w:p w14:paraId="65C5D5B2">
      <w:pPr>
        <w:pStyle w:val="11"/>
        <w:widowControl/>
        <w:numPr>
          <w:ilvl w:val="0"/>
          <w:numId w:val="1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逐级备案。粮食应急保障企业应通过“粮食应急保障信息系统”录入企业信息，逐级上报备案。</w:t>
      </w:r>
    </w:p>
    <w:p w14:paraId="7404144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7367ED00">
      <w:pPr>
        <w:pStyle w:val="2"/>
        <w:widowControl/>
        <w:numPr>
          <w:ilvl w:val="0"/>
          <w:numId w:val="1"/>
        </w:numPr>
        <w:ind w:left="0" w:leftChars="0" w:firstLine="0" w:firstLineChars="0"/>
        <w:rPr>
          <w:b w:val="0"/>
          <w:bdr w:val="none" w:sz="0" w:space="0"/>
        </w:rPr>
      </w:pPr>
      <w:r>
        <w:t>     日常管理和监督</w:t>
      </w:r>
    </w:p>
    <w:p w14:paraId="0D5AF38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00A28B04">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自治区粮食和储备局指导全区粮食应急保障体系建设工作，各盟市、旗县级粮食和储备行政管理部门负责辖区内粮食应急保障体系建设和粮食应急保障企业管理工作，并结合地方实际完善粮食应急保障各环节功能，建成满足当地应急需求、优化协同高效的粮食应急保障网络。</w:t>
      </w:r>
    </w:p>
    <w:p w14:paraId="2E52E7D2">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各级粮食和储备行政管理部门应按照上级粮食和储备行政管理部门要求，加强粮食应急保障企业信息动态维护，核实企业信息，通过粮食应急保障信息系统对企业进行动态调整。</w:t>
      </w:r>
    </w:p>
    <w:p w14:paraId="39EFC3B9">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各级粮食和储备行政管理部门应积极协调有关部门，在粮食等重要农产品仓储设施专项、优质粮食工程、粮食流通提质增效、“两新”领域设备更新、粮食风险基金、信贷支持行动等方面，优先支持粮食应急保障企业发展。</w:t>
      </w:r>
    </w:p>
    <w:p w14:paraId="0111EB19">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各级粮食和储备行政管理部门发现企业落实应急保障责任义务不到位、企业资质和应急保障能力明显不符合有关条件和标准等情形的，应责令其限期整改。</w:t>
      </w:r>
    </w:p>
    <w:p w14:paraId="331EB5A4">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企业出现以下情形之一的，应解除协议，收回牌匾：</w:t>
      </w:r>
    </w:p>
    <w:p w14:paraId="6DA640EC">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在粮食应急保供中不服从有关部门的统一安排调度，拒不执行应急保供任务，或执行不力，落实任务不到位的；</w:t>
      </w:r>
    </w:p>
    <w:p w14:paraId="2BB384C8">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在粮食和储备行政管理部门责令限期整改后，整改不到位的；</w:t>
      </w:r>
    </w:p>
    <w:p w14:paraId="18002605">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通过隐瞒情况、提供虚假材料，或以欺骗、贿赂等不正当手段确定为粮食应急保障企业的；</w:t>
      </w:r>
    </w:p>
    <w:p w14:paraId="4181B720">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发生重大变故或存在重大经营风险，影响企业正常经营的；</w:t>
      </w:r>
    </w:p>
    <w:p w14:paraId="7DACE630">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违反粮食生产、流通和储备等相关规定的；</w:t>
      </w:r>
    </w:p>
    <w:p w14:paraId="52E8E58D">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造成安全生产事故或存在重大安全生产隐患的；</w:t>
      </w:r>
    </w:p>
    <w:p w14:paraId="41B3339A">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被列入不良信用记录的；</w:t>
      </w:r>
    </w:p>
    <w:p w14:paraId="140F77C5">
      <w:pPr>
        <w:pStyle w:val="11"/>
        <w:widowControl/>
        <w:numPr>
          <w:ilvl w:val="0"/>
          <w:numId w:val="1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根据自身状况，主动申请退出应急保障企业的。</w:t>
      </w:r>
    </w:p>
    <w:p w14:paraId="156FB5B2">
      <w:pPr>
        <w:pStyle w:val="2"/>
        <w:widowControl/>
        <w:numPr>
          <w:ilvl w:val="0"/>
          <w:numId w:val="1"/>
        </w:numPr>
        <w:ind w:left="0" w:leftChars="0" w:firstLine="0" w:firstLineChars="0"/>
        <w:rPr>
          <w:b w:val="0"/>
          <w:bdr w:val="none" w:sz="0" w:space="0"/>
        </w:rPr>
      </w:pPr>
      <w:r>
        <w:t>     责任与义务</w:t>
      </w:r>
    </w:p>
    <w:p w14:paraId="4292491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right="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3EAFFFB7">
      <w:pPr>
        <w:pStyle w:val="11"/>
        <w:widowControl/>
        <w:numPr>
          <w:ilvl w:val="0"/>
          <w:numId w:val="15"/>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粮食应急保障企业平时按市场化运作，自主经营、自负盈亏，应急保供时应积极承担各项应急供应任务。</w:t>
      </w:r>
    </w:p>
    <w:p w14:paraId="467D0586">
      <w:pPr>
        <w:pStyle w:val="11"/>
        <w:widowControl/>
        <w:numPr>
          <w:ilvl w:val="0"/>
          <w:numId w:val="15"/>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粮食应急保障企业向粮食和储备行政管理部门报送的相关信息，涉及企业商业秘密的，各级粮食和储备行政管理部门应依法予以保护，未经企业同意，不得向外提供。</w:t>
      </w:r>
    </w:p>
    <w:p w14:paraId="564BD5CD">
      <w:pPr>
        <w:pStyle w:val="11"/>
        <w:widowControl/>
        <w:numPr>
          <w:ilvl w:val="0"/>
          <w:numId w:val="15"/>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在平时应遵守粮食流通、储备等规定，主动接受粮食和储备行政管理部门的监督检查，出现涉及粮食应急保障的重大经营情况变动的应及时报告。进入粮食应急状态或启动粮食应急预案后，应严格遵守《粮食应急保障协议书》中约定的责任和义务，在有关部门的统一安排调度下，立即行动、履行协议，完成好各项粮食应急保障任务，确保各项措施有效落实。法律法规另有规定的，从其规定。</w:t>
      </w:r>
    </w:p>
    <w:p w14:paraId="377AC3E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6D32FD87">
      <w:pPr>
        <w:pStyle w:val="2"/>
        <w:widowControl/>
        <w:numPr>
          <w:ilvl w:val="0"/>
          <w:numId w:val="1"/>
        </w:numPr>
        <w:ind w:left="0" w:leftChars="0" w:firstLine="0" w:firstLineChars="0"/>
        <w:rPr>
          <w:b w:val="0"/>
          <w:bdr w:val="none" w:sz="0" w:space="0"/>
        </w:rPr>
      </w:pPr>
      <w:r>
        <w:t>     附则</w:t>
      </w:r>
    </w:p>
    <w:p w14:paraId="0328CB6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40" w:right="0"/>
        <w:jc w:val="both"/>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 </w:t>
      </w:r>
    </w:p>
    <w:p w14:paraId="07D79558">
      <w:pPr>
        <w:pStyle w:val="11"/>
        <w:widowControl/>
        <w:numPr>
          <w:ilvl w:val="0"/>
          <w:numId w:val="16"/>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 盟市、旗县级粮食和储备行政管理部门可结合地方实际制定本级粮食应急保障企业管理细则，也可参照本细则对辖区内应急保障企业进行管理。</w:t>
      </w:r>
    </w:p>
    <w:p w14:paraId="660A1F5A">
      <w:pPr>
        <w:pStyle w:val="11"/>
        <w:widowControl/>
        <w:numPr>
          <w:ilvl w:val="0"/>
          <w:numId w:val="16"/>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粮食应急保障企业牌匾样式由国家粮食和物资储备局监制（附件3）。各级粮食和储备行政管理部门负责本级粮食应急保障企业牌匾的制作和发放，所需费用由本级粮食和储备行政管理部门负责，不得收取粮食企业任何费用。</w:t>
      </w:r>
    </w:p>
    <w:p w14:paraId="3A4751E5">
      <w:pPr>
        <w:pStyle w:val="11"/>
        <w:widowControl/>
        <w:numPr>
          <w:ilvl w:val="0"/>
          <w:numId w:val="16"/>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其他承担粮食应急保障任务的非企业性质的市场主体，参照本细则管理。</w:t>
      </w:r>
    </w:p>
    <w:p w14:paraId="5E7BA7F0">
      <w:pPr>
        <w:pStyle w:val="11"/>
        <w:widowControl/>
        <w:numPr>
          <w:ilvl w:val="0"/>
          <w:numId w:val="16"/>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  本细则由自治区粮食和储备局负责解释，自印发之日起施行，有效期5年。</w:t>
      </w:r>
    </w:p>
    <w:p w14:paraId="244B30D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26060CE8">
      <w:pPr>
        <w:pStyle w:val="11"/>
        <w:widowControl/>
        <w:pBdr>
          <w:top w:val="none" w:color="auto" w:sz="0" w:space="0"/>
          <w:left w:val="none" w:color="auto" w:sz="0" w:space="0"/>
          <w:bottom w:val="none" w:color="auto" w:sz="0" w:space="0"/>
          <w:right w:val="none" w:color="auto" w:sz="0" w:space="0"/>
        </w:pBdr>
        <w:ind w:left="1140" w:leftChars="200" w:hanging="720" w:hangingChars="300"/>
      </w:pPr>
      <w:r>
        <w:rPr>
          <w:i w:val="0"/>
          <w:color w:val="000000"/>
          <w:bdr w:val="none" w:color="auto" w:sz="0" w:space="0"/>
        </w:rPr>
        <w:t>附件：1.粮食应急保障企业能力推荐标准</w:t>
      </w:r>
    </w:p>
    <w:p w14:paraId="17C5F29D">
      <w:pPr>
        <w:pStyle w:val="11"/>
        <w:widowControl/>
        <w:pBdr>
          <w:top w:val="none" w:color="auto" w:sz="0" w:space="0"/>
          <w:left w:val="none" w:color="auto" w:sz="0" w:space="0"/>
          <w:bottom w:val="none" w:color="auto" w:sz="0" w:space="0"/>
          <w:right w:val="none" w:color="auto" w:sz="0" w:space="0"/>
        </w:pBdr>
        <w:ind w:left="1050" w:leftChars="500" w:firstLine="0" w:firstLineChars="0"/>
      </w:pPr>
      <w:r>
        <w:rPr>
          <w:i w:val="0"/>
          <w:color w:val="000000"/>
          <w:bdr w:val="none" w:color="auto" w:sz="0" w:space="0"/>
        </w:rPr>
        <w:t>2.粮食应急保障协议书（模板）</w:t>
      </w:r>
    </w:p>
    <w:p w14:paraId="09F0B27F">
      <w:pPr>
        <w:pStyle w:val="11"/>
        <w:widowControl/>
        <w:pBdr>
          <w:top w:val="none" w:color="auto" w:sz="0" w:space="0"/>
          <w:left w:val="none" w:color="auto" w:sz="0" w:space="0"/>
          <w:bottom w:val="none" w:color="auto" w:sz="0" w:space="0"/>
          <w:right w:val="none" w:color="auto" w:sz="0" w:space="0"/>
        </w:pBdr>
        <w:ind w:left="1050" w:leftChars="500" w:firstLine="0" w:firstLineChars="0"/>
      </w:pPr>
      <w:r>
        <w:rPr>
          <w:i w:val="0"/>
          <w:color w:val="000000"/>
          <w:bdr w:val="none" w:color="auto" w:sz="0" w:space="0"/>
        </w:rPr>
        <w:t>    3.牌匾样式</w:t>
      </w:r>
    </w:p>
    <w:p w14:paraId="74EF725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3C0A269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18"/>
          <w:szCs w:val="18"/>
        </w:rPr>
      </w:pPr>
    </w:p>
    <w:p w14:paraId="274A53F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7"/>
          <w:szCs w:val="27"/>
        </w:rPr>
      </w:pPr>
    </w:p>
    <w:p w14:paraId="049843BA">
      <w:pPr>
        <w:pStyle w:val="11"/>
        <w:widowControl/>
        <w:pBdr>
          <w:top w:val="none" w:color="auto" w:sz="0" w:space="0"/>
          <w:left w:val="none" w:color="auto" w:sz="0" w:space="0"/>
          <w:bottom w:val="none" w:color="auto" w:sz="0" w:space="0"/>
          <w:right w:val="none" w:color="auto" w:sz="0" w:space="0"/>
        </w:pBdr>
        <w:rPr>
          <w:bdr w:val="none" w:color="auto" w:sz="0" w:space="0"/>
        </w:rPr>
      </w:pPr>
      <w:r>
        <w:rPr>
          <w:bdr w:val="none" w:color="auto" w:sz="0" w:space="0"/>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8"/>
        <w:gridCol w:w="625"/>
        <w:gridCol w:w="520"/>
        <w:gridCol w:w="416"/>
        <w:gridCol w:w="416"/>
        <w:gridCol w:w="520"/>
        <w:gridCol w:w="520"/>
        <w:gridCol w:w="625"/>
        <w:gridCol w:w="416"/>
        <w:gridCol w:w="625"/>
        <w:gridCol w:w="520"/>
        <w:gridCol w:w="416"/>
        <w:gridCol w:w="416"/>
        <w:gridCol w:w="520"/>
        <w:gridCol w:w="519"/>
        <w:gridCol w:w="519"/>
        <w:gridCol w:w="521"/>
      </w:tblGrid>
      <w:tr w14:paraId="63A9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5000" w:type="pct"/>
            <w:gridSpan w:val="17"/>
            <w:shd w:val="clear"/>
            <w:tcMar>
              <w:left w:w="108" w:type="dxa"/>
              <w:right w:w="108" w:type="dxa"/>
            </w:tcMar>
            <w:vAlign w:val="center"/>
          </w:tcPr>
          <w:p w14:paraId="529F18E4">
            <w:pPr>
              <w:pStyle w:val="11"/>
              <w:widowControl/>
              <w:pBdr>
                <w:top w:val="none" w:color="auto" w:sz="0" w:space="0"/>
                <w:left w:val="none" w:color="auto" w:sz="0" w:space="0"/>
                <w:bottom w:val="none" w:color="auto" w:sz="0" w:space="0"/>
                <w:right w:val="none" w:color="auto" w:sz="0" w:space="0"/>
              </w:pBdr>
            </w:pPr>
            <w:r>
              <w:rPr>
                <w:bdr w:val="none" w:color="auto" w:sz="0" w:space="0"/>
              </w:rPr>
              <w:t>附件1</w:t>
            </w:r>
          </w:p>
        </w:tc>
      </w:tr>
      <w:tr w14:paraId="2CFF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5000" w:type="pct"/>
            <w:gridSpan w:val="17"/>
            <w:shd w:val="clear"/>
            <w:tcMar>
              <w:left w:w="108" w:type="dxa"/>
              <w:right w:w="108" w:type="dxa"/>
            </w:tcMar>
            <w:vAlign w:val="center"/>
          </w:tcPr>
          <w:p w14:paraId="2A6B78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黑体" w:hAnsi="宋体" w:eastAsia="黑体" w:cs="黑体"/>
                <w:bdr w:val="none" w:color="auto" w:sz="0" w:space="0"/>
              </w:rPr>
              <w:t>粮食应急保障企业能力推荐标准</w:t>
            </w:r>
          </w:p>
        </w:tc>
      </w:tr>
      <w:tr w14:paraId="1321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65" w:type="pct"/>
            <w:shd w:val="clear"/>
            <w:tcMar>
              <w:left w:w="108" w:type="dxa"/>
              <w:right w:w="108" w:type="dxa"/>
            </w:tcMar>
            <w:vAlign w:val="center"/>
          </w:tcPr>
          <w:p w14:paraId="2F6A2904">
            <w:pPr>
              <w:rPr>
                <w:rFonts w:hint="eastAsia" w:ascii="微软雅黑" w:hAnsi="微软雅黑" w:eastAsia="微软雅黑" w:cs="微软雅黑"/>
                <w:sz w:val="24"/>
                <w:szCs w:val="24"/>
              </w:rPr>
            </w:pPr>
          </w:p>
        </w:tc>
        <w:tc>
          <w:tcPr>
            <w:tcW w:w="245" w:type="pct"/>
            <w:shd w:val="clear"/>
            <w:tcMar>
              <w:left w:w="108" w:type="dxa"/>
              <w:right w:w="108" w:type="dxa"/>
            </w:tcMar>
            <w:vAlign w:val="center"/>
          </w:tcPr>
          <w:p w14:paraId="35425A87">
            <w:pPr>
              <w:rPr>
                <w:rFonts w:hint="eastAsia" w:ascii="微软雅黑" w:hAnsi="微软雅黑" w:eastAsia="微软雅黑" w:cs="微软雅黑"/>
                <w:sz w:val="24"/>
                <w:szCs w:val="24"/>
              </w:rPr>
            </w:pPr>
          </w:p>
        </w:tc>
        <w:tc>
          <w:tcPr>
            <w:tcW w:w="216" w:type="pct"/>
            <w:shd w:val="clear"/>
            <w:tcMar>
              <w:left w:w="108" w:type="dxa"/>
              <w:right w:w="108" w:type="dxa"/>
            </w:tcMar>
            <w:vAlign w:val="center"/>
          </w:tcPr>
          <w:p w14:paraId="5BDD7399">
            <w:pPr>
              <w:rPr>
                <w:rFonts w:hint="eastAsia" w:ascii="微软雅黑" w:hAnsi="微软雅黑" w:eastAsia="微软雅黑" w:cs="微软雅黑"/>
                <w:sz w:val="24"/>
                <w:szCs w:val="24"/>
              </w:rPr>
            </w:pPr>
          </w:p>
        </w:tc>
        <w:tc>
          <w:tcPr>
            <w:tcW w:w="211" w:type="pct"/>
            <w:shd w:val="clear"/>
            <w:tcMar>
              <w:left w:w="108" w:type="dxa"/>
              <w:right w:w="108" w:type="dxa"/>
            </w:tcMar>
            <w:vAlign w:val="center"/>
          </w:tcPr>
          <w:p w14:paraId="30254B7A">
            <w:pPr>
              <w:rPr>
                <w:rFonts w:hint="eastAsia" w:ascii="微软雅黑" w:hAnsi="微软雅黑" w:eastAsia="微软雅黑" w:cs="微软雅黑"/>
                <w:sz w:val="24"/>
                <w:szCs w:val="24"/>
              </w:rPr>
            </w:pPr>
          </w:p>
        </w:tc>
        <w:tc>
          <w:tcPr>
            <w:tcW w:w="212" w:type="pct"/>
            <w:shd w:val="clear"/>
            <w:tcMar>
              <w:left w:w="108" w:type="dxa"/>
              <w:right w:w="108" w:type="dxa"/>
            </w:tcMar>
            <w:vAlign w:val="center"/>
          </w:tcPr>
          <w:p w14:paraId="1FFB2337">
            <w:pPr>
              <w:rPr>
                <w:rFonts w:hint="eastAsia" w:ascii="微软雅黑" w:hAnsi="微软雅黑" w:eastAsia="微软雅黑" w:cs="微软雅黑"/>
                <w:sz w:val="24"/>
                <w:szCs w:val="24"/>
              </w:rPr>
            </w:pPr>
          </w:p>
        </w:tc>
        <w:tc>
          <w:tcPr>
            <w:tcW w:w="217" w:type="pct"/>
            <w:shd w:val="clear"/>
            <w:tcMar>
              <w:left w:w="108" w:type="dxa"/>
              <w:right w:w="108" w:type="dxa"/>
            </w:tcMar>
            <w:vAlign w:val="center"/>
          </w:tcPr>
          <w:p w14:paraId="230805E0">
            <w:pPr>
              <w:rPr>
                <w:rFonts w:hint="eastAsia" w:ascii="微软雅黑" w:hAnsi="微软雅黑" w:eastAsia="微软雅黑" w:cs="微软雅黑"/>
                <w:sz w:val="24"/>
                <w:szCs w:val="24"/>
              </w:rPr>
            </w:pPr>
          </w:p>
        </w:tc>
        <w:tc>
          <w:tcPr>
            <w:tcW w:w="217" w:type="pct"/>
            <w:shd w:val="clear"/>
            <w:tcMar>
              <w:left w:w="108" w:type="dxa"/>
              <w:right w:w="108" w:type="dxa"/>
            </w:tcMar>
            <w:vAlign w:val="center"/>
          </w:tcPr>
          <w:p w14:paraId="0BDF8DA2">
            <w:pPr>
              <w:rPr>
                <w:rFonts w:hint="eastAsia" w:ascii="微软雅黑" w:hAnsi="微软雅黑" w:eastAsia="微软雅黑" w:cs="微软雅黑"/>
                <w:sz w:val="24"/>
                <w:szCs w:val="24"/>
              </w:rPr>
            </w:pPr>
          </w:p>
        </w:tc>
        <w:tc>
          <w:tcPr>
            <w:tcW w:w="245" w:type="pct"/>
            <w:shd w:val="clear"/>
            <w:tcMar>
              <w:left w:w="108" w:type="dxa"/>
              <w:right w:w="108" w:type="dxa"/>
            </w:tcMar>
            <w:vAlign w:val="center"/>
          </w:tcPr>
          <w:p w14:paraId="4AEA15D5">
            <w:pPr>
              <w:rPr>
                <w:rFonts w:hint="eastAsia" w:ascii="微软雅黑" w:hAnsi="微软雅黑" w:eastAsia="微软雅黑" w:cs="微软雅黑"/>
                <w:sz w:val="24"/>
                <w:szCs w:val="24"/>
              </w:rPr>
            </w:pPr>
          </w:p>
        </w:tc>
        <w:tc>
          <w:tcPr>
            <w:tcW w:w="212" w:type="pct"/>
            <w:shd w:val="clear"/>
            <w:tcMar>
              <w:left w:w="108" w:type="dxa"/>
              <w:right w:w="108" w:type="dxa"/>
            </w:tcMar>
            <w:vAlign w:val="center"/>
          </w:tcPr>
          <w:p w14:paraId="7E27E7AA">
            <w:pPr>
              <w:rPr>
                <w:rFonts w:hint="eastAsia" w:ascii="微软雅黑" w:hAnsi="微软雅黑" w:eastAsia="微软雅黑" w:cs="微软雅黑"/>
                <w:sz w:val="24"/>
                <w:szCs w:val="24"/>
              </w:rPr>
            </w:pPr>
          </w:p>
        </w:tc>
        <w:tc>
          <w:tcPr>
            <w:tcW w:w="245" w:type="pct"/>
            <w:shd w:val="clear"/>
            <w:tcMar>
              <w:left w:w="108" w:type="dxa"/>
              <w:right w:w="108" w:type="dxa"/>
            </w:tcMar>
            <w:vAlign w:val="center"/>
          </w:tcPr>
          <w:p w14:paraId="116FF96E">
            <w:pPr>
              <w:rPr>
                <w:rFonts w:hint="eastAsia" w:ascii="微软雅黑" w:hAnsi="微软雅黑" w:eastAsia="微软雅黑" w:cs="微软雅黑"/>
                <w:sz w:val="24"/>
                <w:szCs w:val="24"/>
              </w:rPr>
            </w:pPr>
          </w:p>
        </w:tc>
        <w:tc>
          <w:tcPr>
            <w:tcW w:w="217" w:type="pct"/>
            <w:shd w:val="clear"/>
            <w:tcMar>
              <w:left w:w="108" w:type="dxa"/>
              <w:right w:w="108" w:type="dxa"/>
            </w:tcMar>
            <w:vAlign w:val="center"/>
          </w:tcPr>
          <w:p w14:paraId="75E40C17">
            <w:pPr>
              <w:rPr>
                <w:rFonts w:hint="eastAsia" w:ascii="微软雅黑" w:hAnsi="微软雅黑" w:eastAsia="微软雅黑" w:cs="微软雅黑"/>
                <w:sz w:val="24"/>
                <w:szCs w:val="24"/>
              </w:rPr>
            </w:pPr>
          </w:p>
        </w:tc>
        <w:tc>
          <w:tcPr>
            <w:tcW w:w="212" w:type="pct"/>
            <w:shd w:val="clear"/>
            <w:tcMar>
              <w:left w:w="108" w:type="dxa"/>
              <w:right w:w="108" w:type="dxa"/>
            </w:tcMar>
            <w:vAlign w:val="center"/>
          </w:tcPr>
          <w:p w14:paraId="6A5199E6">
            <w:pPr>
              <w:rPr>
                <w:rFonts w:hint="eastAsia" w:ascii="微软雅黑" w:hAnsi="微软雅黑" w:eastAsia="微软雅黑" w:cs="微软雅黑"/>
                <w:sz w:val="24"/>
                <w:szCs w:val="24"/>
              </w:rPr>
            </w:pPr>
          </w:p>
        </w:tc>
        <w:tc>
          <w:tcPr>
            <w:tcW w:w="418" w:type="pct"/>
            <w:shd w:val="clear"/>
            <w:tcMar>
              <w:left w:w="108" w:type="dxa"/>
              <w:right w:w="108" w:type="dxa"/>
            </w:tcMar>
            <w:vAlign w:val="center"/>
          </w:tcPr>
          <w:p w14:paraId="7922A012">
            <w:pPr>
              <w:rPr>
                <w:rFonts w:hint="eastAsia" w:ascii="微软雅黑" w:hAnsi="微软雅黑" w:eastAsia="微软雅黑" w:cs="微软雅黑"/>
                <w:sz w:val="24"/>
                <w:szCs w:val="24"/>
              </w:rPr>
            </w:pPr>
          </w:p>
        </w:tc>
        <w:tc>
          <w:tcPr>
            <w:tcW w:w="217" w:type="pct"/>
            <w:shd w:val="clear"/>
            <w:tcMar>
              <w:left w:w="108" w:type="dxa"/>
              <w:right w:w="108" w:type="dxa"/>
            </w:tcMar>
            <w:vAlign w:val="center"/>
          </w:tcPr>
          <w:p w14:paraId="53BF1E62">
            <w:pPr>
              <w:rPr>
                <w:rFonts w:hint="eastAsia" w:ascii="微软雅黑" w:hAnsi="微软雅黑" w:eastAsia="微软雅黑" w:cs="微软雅黑"/>
                <w:sz w:val="24"/>
                <w:szCs w:val="24"/>
              </w:rPr>
            </w:pPr>
          </w:p>
        </w:tc>
        <w:tc>
          <w:tcPr>
            <w:tcW w:w="1744" w:type="pct"/>
            <w:gridSpan w:val="3"/>
            <w:shd w:val="clear"/>
            <w:tcMar>
              <w:left w:w="108" w:type="dxa"/>
              <w:right w:w="108" w:type="dxa"/>
            </w:tcMar>
            <w:vAlign w:val="center"/>
          </w:tcPr>
          <w:p w14:paraId="7C22157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单位：吨</w:t>
            </w:r>
          </w:p>
        </w:tc>
      </w:tr>
      <w:tr w14:paraId="1B10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165" w:type="pct"/>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14:paraId="06A588F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b/>
                <w:bCs/>
                <w:sz w:val="24"/>
                <w:szCs w:val="24"/>
                <w:bdr w:val="none" w:color="auto" w:sz="0" w:space="0"/>
              </w:rPr>
              <w:t>级别</w:t>
            </w:r>
          </w:p>
        </w:tc>
        <w:tc>
          <w:tcPr>
            <w:tcW w:w="886" w:type="pct"/>
            <w:gridSpan w:val="4"/>
            <w:tcBorders>
              <w:top w:val="single" w:color="000000" w:sz="8" w:space="0"/>
              <w:bottom w:val="single" w:color="000000" w:sz="8" w:space="0"/>
              <w:right w:val="single" w:color="000000" w:sz="8" w:space="0"/>
            </w:tcBorders>
            <w:shd w:val="clear"/>
            <w:tcMar>
              <w:left w:w="108" w:type="dxa"/>
              <w:right w:w="98" w:type="dxa"/>
            </w:tcMar>
            <w:vAlign w:val="center"/>
          </w:tcPr>
          <w:p w14:paraId="062C37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b/>
                <w:bCs/>
                <w:sz w:val="24"/>
                <w:szCs w:val="24"/>
                <w:bdr w:val="none" w:color="auto" w:sz="0" w:space="0"/>
              </w:rPr>
              <w:t>应急储运企业</w:t>
            </w:r>
          </w:p>
        </w:tc>
        <w:tc>
          <w:tcPr>
            <w:tcW w:w="892" w:type="pct"/>
            <w:gridSpan w:val="4"/>
            <w:tcBorders>
              <w:top w:val="single" w:color="000000" w:sz="8" w:space="0"/>
              <w:bottom w:val="single" w:color="000000" w:sz="8" w:space="0"/>
              <w:right w:val="single" w:color="000000" w:sz="8" w:space="0"/>
            </w:tcBorders>
            <w:shd w:val="clear"/>
            <w:tcMar>
              <w:left w:w="108" w:type="dxa"/>
              <w:right w:w="98" w:type="dxa"/>
            </w:tcMar>
            <w:vAlign w:val="center"/>
          </w:tcPr>
          <w:p w14:paraId="0655DD0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b/>
                <w:bCs/>
                <w:sz w:val="24"/>
                <w:szCs w:val="24"/>
                <w:bdr w:val="none" w:color="auto" w:sz="0" w:space="0"/>
              </w:rPr>
              <w:t>应急加工企业</w:t>
            </w:r>
          </w:p>
        </w:tc>
        <w:tc>
          <w:tcPr>
            <w:tcW w:w="1093" w:type="pct"/>
            <w:gridSpan w:val="4"/>
            <w:tcBorders>
              <w:top w:val="single" w:color="000000" w:sz="8" w:space="0"/>
              <w:bottom w:val="single" w:color="000000" w:sz="8" w:space="0"/>
              <w:right w:val="single" w:color="000000" w:sz="8" w:space="0"/>
            </w:tcBorders>
            <w:shd w:val="clear"/>
            <w:tcMar>
              <w:left w:w="108" w:type="dxa"/>
              <w:right w:w="98" w:type="dxa"/>
            </w:tcMar>
            <w:vAlign w:val="center"/>
          </w:tcPr>
          <w:p w14:paraId="6EF0A3B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b/>
                <w:bCs/>
                <w:sz w:val="24"/>
                <w:szCs w:val="24"/>
                <w:bdr w:val="none" w:color="auto" w:sz="0" w:space="0"/>
              </w:rPr>
              <w:t>应急配送中心</w:t>
            </w:r>
          </w:p>
        </w:tc>
        <w:tc>
          <w:tcPr>
            <w:tcW w:w="1961" w:type="pct"/>
            <w:gridSpan w:val="4"/>
            <w:tcBorders>
              <w:top w:val="single" w:color="000000" w:sz="8" w:space="0"/>
              <w:bottom w:val="single" w:color="000000" w:sz="8" w:space="0"/>
              <w:right w:val="single" w:color="000000" w:sz="8" w:space="0"/>
            </w:tcBorders>
            <w:shd w:val="clear"/>
            <w:tcMar>
              <w:left w:w="108" w:type="dxa"/>
              <w:right w:w="98" w:type="dxa"/>
            </w:tcMar>
            <w:vAlign w:val="center"/>
          </w:tcPr>
          <w:p w14:paraId="0DDCC37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b/>
                <w:bCs/>
                <w:sz w:val="24"/>
                <w:szCs w:val="24"/>
                <w:bdr w:val="none" w:color="auto" w:sz="0" w:space="0"/>
              </w:rPr>
              <w:t>应急供应网点</w:t>
            </w:r>
          </w:p>
        </w:tc>
      </w:tr>
      <w:tr w14:paraId="74DC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96" w:hRule="atLeast"/>
        </w:trPr>
        <w:tc>
          <w:tcPr>
            <w:tcW w:w="165" w:type="pct"/>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14:paraId="10169FCE">
            <w:pPr>
              <w:rPr>
                <w:rFonts w:hint="eastAsia" w:ascii="微软雅黑" w:hAnsi="微软雅黑" w:eastAsia="微软雅黑" w:cs="微软雅黑"/>
                <w:sz w:val="24"/>
                <w:szCs w:val="24"/>
              </w:rPr>
            </w:pPr>
          </w:p>
        </w:tc>
        <w:tc>
          <w:tcPr>
            <w:tcW w:w="245" w:type="pct"/>
            <w:tcBorders>
              <w:bottom w:val="single" w:color="000000" w:sz="8" w:space="0"/>
              <w:right w:val="single" w:color="000000" w:sz="8" w:space="0"/>
            </w:tcBorders>
            <w:shd w:val="clear"/>
            <w:tcMar>
              <w:left w:w="108" w:type="dxa"/>
              <w:right w:w="98" w:type="dxa"/>
            </w:tcMar>
            <w:vAlign w:val="center"/>
          </w:tcPr>
          <w:p w14:paraId="510EAD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库房仓容</w:t>
            </w:r>
          </w:p>
        </w:tc>
        <w:tc>
          <w:tcPr>
            <w:tcW w:w="216" w:type="pct"/>
            <w:tcBorders>
              <w:bottom w:val="single" w:color="000000" w:sz="8" w:space="0"/>
              <w:right w:val="single" w:color="000000" w:sz="8" w:space="0"/>
            </w:tcBorders>
            <w:shd w:val="clear"/>
            <w:tcMar>
              <w:left w:w="108" w:type="dxa"/>
              <w:right w:w="98" w:type="dxa"/>
            </w:tcMar>
            <w:vAlign w:val="center"/>
          </w:tcPr>
          <w:p w14:paraId="419A8AA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油罐罐容</w:t>
            </w:r>
          </w:p>
        </w:tc>
        <w:tc>
          <w:tcPr>
            <w:tcW w:w="211" w:type="pct"/>
            <w:tcBorders>
              <w:bottom w:val="single" w:color="000000" w:sz="8" w:space="0"/>
              <w:right w:val="single" w:color="000000" w:sz="8" w:space="0"/>
            </w:tcBorders>
            <w:shd w:val="clear"/>
            <w:tcMar>
              <w:left w:w="108" w:type="dxa"/>
              <w:right w:w="98" w:type="dxa"/>
            </w:tcMar>
            <w:vAlign w:val="center"/>
          </w:tcPr>
          <w:p w14:paraId="594FA06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日运输能力</w:t>
            </w:r>
          </w:p>
        </w:tc>
        <w:tc>
          <w:tcPr>
            <w:tcW w:w="212" w:type="pct"/>
            <w:tcBorders>
              <w:bottom w:val="single" w:color="000000" w:sz="8" w:space="0"/>
              <w:right w:val="single" w:color="000000" w:sz="8" w:space="0"/>
            </w:tcBorders>
            <w:shd w:val="clear"/>
            <w:tcMar>
              <w:left w:w="108" w:type="dxa"/>
              <w:right w:w="98" w:type="dxa"/>
            </w:tcMar>
            <w:vAlign w:val="center"/>
          </w:tcPr>
          <w:p w14:paraId="38B243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自有车辆日运能力</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034374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小麦日加工能力</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257D3E1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稻谷日加工能力</w:t>
            </w:r>
          </w:p>
        </w:tc>
        <w:tc>
          <w:tcPr>
            <w:tcW w:w="245" w:type="pct"/>
            <w:tcBorders>
              <w:top w:val="single" w:color="000000" w:sz="8" w:space="0"/>
              <w:bottom w:val="single" w:color="000000" w:sz="8" w:space="0"/>
              <w:right w:val="single" w:color="000000" w:sz="8" w:space="0"/>
            </w:tcBorders>
            <w:shd w:val="clear"/>
            <w:tcMar>
              <w:left w:w="108" w:type="dxa"/>
              <w:right w:w="98" w:type="dxa"/>
            </w:tcMar>
            <w:vAlign w:val="center"/>
          </w:tcPr>
          <w:p w14:paraId="0784D29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油脂</w:t>
            </w:r>
            <w:r>
              <w:rPr>
                <w:rFonts w:ascii="仿宋" w:hAnsi="仿宋" w:eastAsia="仿宋" w:cs="仿宋"/>
                <w:sz w:val="24"/>
                <w:szCs w:val="24"/>
                <w:bdr w:val="none" w:color="auto" w:sz="0" w:space="0"/>
              </w:rPr>
              <w:t>（油料）</w:t>
            </w:r>
            <w:r>
              <w:rPr>
                <w:rFonts w:hint="eastAsia" w:ascii="宋体" w:hAnsi="宋体" w:eastAsia="宋体" w:cs="宋体"/>
                <w:sz w:val="24"/>
                <w:szCs w:val="24"/>
                <w:bdr w:val="none" w:color="auto" w:sz="0" w:space="0"/>
              </w:rPr>
              <w:t>日加工能力</w:t>
            </w:r>
          </w:p>
        </w:tc>
        <w:tc>
          <w:tcPr>
            <w:tcW w:w="212" w:type="pct"/>
            <w:tcBorders>
              <w:top w:val="single" w:color="000000" w:sz="8" w:space="0"/>
              <w:bottom w:val="single" w:color="000000" w:sz="8" w:space="0"/>
              <w:right w:val="single" w:color="000000" w:sz="8" w:space="0"/>
            </w:tcBorders>
            <w:shd w:val="clear"/>
            <w:tcMar>
              <w:left w:w="108" w:type="dxa"/>
              <w:right w:w="98" w:type="dxa"/>
            </w:tcMar>
            <w:vAlign w:val="center"/>
          </w:tcPr>
          <w:p w14:paraId="451ADAA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其他日加工能力</w:t>
            </w:r>
          </w:p>
        </w:tc>
        <w:tc>
          <w:tcPr>
            <w:tcW w:w="245" w:type="pct"/>
            <w:tcBorders>
              <w:top w:val="single" w:color="000000" w:sz="8" w:space="0"/>
              <w:bottom w:val="single" w:color="000000" w:sz="8" w:space="0"/>
              <w:right w:val="single" w:color="000000" w:sz="8" w:space="0"/>
            </w:tcBorders>
            <w:shd w:val="clear"/>
            <w:tcMar>
              <w:left w:w="108" w:type="dxa"/>
              <w:right w:w="98" w:type="dxa"/>
            </w:tcMar>
            <w:vAlign w:val="center"/>
          </w:tcPr>
          <w:p w14:paraId="24FE908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库房仓容</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2F87A0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油罐罐容</w:t>
            </w:r>
          </w:p>
        </w:tc>
        <w:tc>
          <w:tcPr>
            <w:tcW w:w="212" w:type="pct"/>
            <w:tcBorders>
              <w:top w:val="single" w:color="000000" w:sz="8" w:space="0"/>
              <w:bottom w:val="single" w:color="000000" w:sz="8" w:space="0"/>
              <w:right w:val="single" w:color="000000" w:sz="8" w:space="0"/>
            </w:tcBorders>
            <w:shd w:val="clear"/>
            <w:tcMar>
              <w:left w:w="108" w:type="dxa"/>
              <w:right w:w="98" w:type="dxa"/>
            </w:tcMar>
            <w:vAlign w:val="center"/>
          </w:tcPr>
          <w:p w14:paraId="64B8CA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日运输能力</w:t>
            </w:r>
          </w:p>
        </w:tc>
        <w:tc>
          <w:tcPr>
            <w:tcW w:w="418" w:type="pct"/>
            <w:tcBorders>
              <w:top w:val="single" w:color="000000" w:sz="8" w:space="0"/>
              <w:bottom w:val="single" w:color="000000" w:sz="8" w:space="0"/>
              <w:right w:val="single" w:color="000000" w:sz="8" w:space="0"/>
            </w:tcBorders>
            <w:shd w:val="clear"/>
            <w:tcMar>
              <w:left w:w="108" w:type="dxa"/>
              <w:right w:w="98" w:type="dxa"/>
            </w:tcMar>
            <w:vAlign w:val="center"/>
          </w:tcPr>
          <w:p w14:paraId="7168D95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自有车辆日运能力</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7E7BA6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小麦粉设计日供应能力</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568393C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大米粉设计日供应能力</w:t>
            </w:r>
          </w:p>
        </w:tc>
        <w:tc>
          <w:tcPr>
            <w:tcW w:w="1224" w:type="pct"/>
            <w:tcBorders>
              <w:top w:val="single" w:color="000000" w:sz="8" w:space="0"/>
              <w:bottom w:val="single" w:color="000000" w:sz="8" w:space="0"/>
              <w:right w:val="single" w:color="000000" w:sz="8" w:space="0"/>
            </w:tcBorders>
            <w:shd w:val="clear"/>
            <w:tcMar>
              <w:left w:w="108" w:type="dxa"/>
              <w:right w:w="98" w:type="dxa"/>
            </w:tcMar>
            <w:vAlign w:val="center"/>
          </w:tcPr>
          <w:p w14:paraId="5E8D76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食用油设计日供应能力</w:t>
            </w:r>
          </w:p>
        </w:tc>
        <w:tc>
          <w:tcPr>
            <w:tcW w:w="303" w:type="pct"/>
            <w:tcBorders>
              <w:top w:val="single" w:color="000000" w:sz="8" w:space="0"/>
              <w:bottom w:val="single" w:color="000000" w:sz="8" w:space="0"/>
              <w:right w:val="single" w:color="000000" w:sz="8" w:space="0"/>
            </w:tcBorders>
            <w:shd w:val="clear"/>
            <w:tcMar>
              <w:left w:w="108" w:type="dxa"/>
              <w:right w:w="98" w:type="dxa"/>
            </w:tcMar>
            <w:vAlign w:val="center"/>
          </w:tcPr>
          <w:p w14:paraId="2156ECC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其他设计日供应能力</w:t>
            </w:r>
          </w:p>
        </w:tc>
      </w:tr>
      <w:tr w14:paraId="43E7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5" w:hRule="atLeast"/>
        </w:trPr>
        <w:tc>
          <w:tcPr>
            <w:tcW w:w="165" w:type="pct"/>
            <w:tcBorders>
              <w:left w:val="single" w:color="000000" w:sz="8" w:space="0"/>
              <w:bottom w:val="single" w:color="000000" w:sz="8" w:space="0"/>
              <w:right w:val="single" w:color="000000" w:sz="8" w:space="0"/>
            </w:tcBorders>
            <w:shd w:val="clear"/>
            <w:tcMar>
              <w:left w:w="98" w:type="dxa"/>
              <w:right w:w="98" w:type="dxa"/>
            </w:tcMar>
            <w:vAlign w:val="center"/>
          </w:tcPr>
          <w:p w14:paraId="46C7EBD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自治区级</w:t>
            </w:r>
          </w:p>
        </w:tc>
        <w:tc>
          <w:tcPr>
            <w:tcW w:w="245" w:type="pct"/>
            <w:tcBorders>
              <w:bottom w:val="single" w:color="000000" w:sz="8" w:space="0"/>
              <w:right w:val="single" w:color="000000" w:sz="8" w:space="0"/>
            </w:tcBorders>
            <w:shd w:val="clear"/>
            <w:tcMar>
              <w:left w:w="108" w:type="dxa"/>
              <w:right w:w="98" w:type="dxa"/>
            </w:tcMar>
            <w:vAlign w:val="center"/>
          </w:tcPr>
          <w:p w14:paraId="4805E0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3000</w:t>
            </w:r>
          </w:p>
        </w:tc>
        <w:tc>
          <w:tcPr>
            <w:tcW w:w="216" w:type="pct"/>
            <w:tcBorders>
              <w:bottom w:val="single" w:color="000000" w:sz="8" w:space="0"/>
              <w:right w:val="single" w:color="000000" w:sz="8" w:space="0"/>
            </w:tcBorders>
            <w:shd w:val="clear"/>
            <w:tcMar>
              <w:left w:w="108" w:type="dxa"/>
              <w:right w:w="98" w:type="dxa"/>
            </w:tcMar>
            <w:vAlign w:val="center"/>
          </w:tcPr>
          <w:p w14:paraId="139FCA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300</w:t>
            </w:r>
          </w:p>
        </w:tc>
        <w:tc>
          <w:tcPr>
            <w:tcW w:w="211" w:type="pct"/>
            <w:tcBorders>
              <w:bottom w:val="single" w:color="000000" w:sz="8" w:space="0"/>
              <w:right w:val="single" w:color="000000" w:sz="8" w:space="0"/>
            </w:tcBorders>
            <w:shd w:val="clear"/>
            <w:tcMar>
              <w:left w:w="108" w:type="dxa"/>
              <w:right w:w="98" w:type="dxa"/>
            </w:tcMar>
            <w:vAlign w:val="center"/>
          </w:tcPr>
          <w:p w14:paraId="41FA5C0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50</w:t>
            </w:r>
          </w:p>
        </w:tc>
        <w:tc>
          <w:tcPr>
            <w:tcW w:w="212" w:type="pct"/>
            <w:tcBorders>
              <w:bottom w:val="single" w:color="000000" w:sz="8" w:space="0"/>
              <w:right w:val="single" w:color="000000" w:sz="8" w:space="0"/>
            </w:tcBorders>
            <w:shd w:val="clear"/>
            <w:tcMar>
              <w:left w:w="108" w:type="dxa"/>
              <w:right w:w="98" w:type="dxa"/>
            </w:tcMar>
            <w:vAlign w:val="center"/>
          </w:tcPr>
          <w:p w14:paraId="195CB99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20</w:t>
            </w:r>
          </w:p>
        </w:tc>
        <w:tc>
          <w:tcPr>
            <w:tcW w:w="217" w:type="pct"/>
            <w:tcBorders>
              <w:bottom w:val="single" w:color="000000" w:sz="8" w:space="0"/>
              <w:right w:val="single" w:color="000000" w:sz="8" w:space="0"/>
            </w:tcBorders>
            <w:shd w:val="clear"/>
            <w:tcMar>
              <w:left w:w="108" w:type="dxa"/>
              <w:right w:w="98" w:type="dxa"/>
            </w:tcMar>
            <w:vAlign w:val="center"/>
          </w:tcPr>
          <w:p w14:paraId="45DACAE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150</w:t>
            </w:r>
          </w:p>
        </w:tc>
        <w:tc>
          <w:tcPr>
            <w:tcW w:w="217" w:type="pct"/>
            <w:tcBorders>
              <w:bottom w:val="single" w:color="000000" w:sz="8" w:space="0"/>
              <w:right w:val="single" w:color="000000" w:sz="8" w:space="0"/>
            </w:tcBorders>
            <w:shd w:val="clear"/>
            <w:tcMar>
              <w:left w:w="108" w:type="dxa"/>
              <w:right w:w="98" w:type="dxa"/>
            </w:tcMar>
            <w:vAlign w:val="center"/>
          </w:tcPr>
          <w:p w14:paraId="23AE63D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100</w:t>
            </w:r>
          </w:p>
        </w:tc>
        <w:tc>
          <w:tcPr>
            <w:tcW w:w="245" w:type="pct"/>
            <w:tcBorders>
              <w:bottom w:val="single" w:color="000000" w:sz="8" w:space="0"/>
              <w:right w:val="single" w:color="000000" w:sz="8" w:space="0"/>
            </w:tcBorders>
            <w:shd w:val="clear"/>
            <w:tcMar>
              <w:left w:w="108" w:type="dxa"/>
              <w:right w:w="98" w:type="dxa"/>
            </w:tcMar>
            <w:vAlign w:val="center"/>
          </w:tcPr>
          <w:p w14:paraId="2D0FB1A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30</w:t>
            </w:r>
          </w:p>
        </w:tc>
        <w:tc>
          <w:tcPr>
            <w:tcW w:w="212" w:type="pct"/>
            <w:tcBorders>
              <w:bottom w:val="single" w:color="000000" w:sz="8" w:space="0"/>
              <w:right w:val="single" w:color="000000" w:sz="8" w:space="0"/>
            </w:tcBorders>
            <w:shd w:val="clear"/>
            <w:tcMar>
              <w:left w:w="108" w:type="dxa"/>
              <w:right w:w="98" w:type="dxa"/>
            </w:tcMar>
            <w:vAlign w:val="center"/>
          </w:tcPr>
          <w:p w14:paraId="32E936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30</w:t>
            </w:r>
          </w:p>
        </w:tc>
        <w:tc>
          <w:tcPr>
            <w:tcW w:w="245" w:type="pct"/>
            <w:tcBorders>
              <w:top w:val="single" w:color="000000" w:sz="8" w:space="0"/>
              <w:bottom w:val="single" w:color="000000" w:sz="8" w:space="0"/>
              <w:right w:val="single" w:color="000000" w:sz="8" w:space="0"/>
            </w:tcBorders>
            <w:shd w:val="clear"/>
            <w:tcMar>
              <w:left w:w="108" w:type="dxa"/>
              <w:right w:w="98" w:type="dxa"/>
            </w:tcMar>
            <w:vAlign w:val="center"/>
          </w:tcPr>
          <w:p w14:paraId="67BF4A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1000</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4B2F868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120</w:t>
            </w:r>
          </w:p>
        </w:tc>
        <w:tc>
          <w:tcPr>
            <w:tcW w:w="212" w:type="pct"/>
            <w:tcBorders>
              <w:top w:val="single" w:color="000000" w:sz="8" w:space="0"/>
              <w:bottom w:val="single" w:color="000000" w:sz="8" w:space="0"/>
              <w:right w:val="single" w:color="000000" w:sz="8" w:space="0"/>
            </w:tcBorders>
            <w:shd w:val="clear"/>
            <w:tcMar>
              <w:left w:w="108" w:type="dxa"/>
              <w:right w:w="98" w:type="dxa"/>
            </w:tcMar>
            <w:vAlign w:val="center"/>
          </w:tcPr>
          <w:p w14:paraId="623D994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60</w:t>
            </w:r>
          </w:p>
        </w:tc>
        <w:tc>
          <w:tcPr>
            <w:tcW w:w="418" w:type="pct"/>
            <w:tcBorders>
              <w:top w:val="single" w:color="000000" w:sz="8" w:space="0"/>
              <w:bottom w:val="single" w:color="000000" w:sz="8" w:space="0"/>
              <w:right w:val="single" w:color="000000" w:sz="8" w:space="0"/>
            </w:tcBorders>
            <w:shd w:val="clear"/>
            <w:tcMar>
              <w:left w:w="108" w:type="dxa"/>
              <w:right w:w="98" w:type="dxa"/>
            </w:tcMar>
            <w:vAlign w:val="center"/>
          </w:tcPr>
          <w:p w14:paraId="50301D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30</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3301BE9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5AD1CDE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1224" w:type="pct"/>
            <w:tcBorders>
              <w:top w:val="single" w:color="000000" w:sz="8" w:space="0"/>
              <w:bottom w:val="single" w:color="000000" w:sz="8" w:space="0"/>
              <w:right w:val="single" w:color="000000" w:sz="8" w:space="0"/>
            </w:tcBorders>
            <w:shd w:val="clear"/>
            <w:tcMar>
              <w:left w:w="108" w:type="dxa"/>
              <w:right w:w="98" w:type="dxa"/>
            </w:tcMar>
            <w:vAlign w:val="center"/>
          </w:tcPr>
          <w:p w14:paraId="5F81933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w:t>
            </w:r>
          </w:p>
        </w:tc>
        <w:tc>
          <w:tcPr>
            <w:tcW w:w="303" w:type="pct"/>
            <w:tcBorders>
              <w:top w:val="single" w:color="000000" w:sz="8" w:space="0"/>
              <w:bottom w:val="single" w:color="000000" w:sz="8" w:space="0"/>
              <w:right w:val="single" w:color="000000" w:sz="8" w:space="0"/>
            </w:tcBorders>
            <w:shd w:val="clear"/>
            <w:tcMar>
              <w:left w:w="108" w:type="dxa"/>
              <w:right w:w="98" w:type="dxa"/>
            </w:tcMar>
            <w:vAlign w:val="center"/>
          </w:tcPr>
          <w:p w14:paraId="17DC6F8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w:t>
            </w:r>
          </w:p>
        </w:tc>
      </w:tr>
      <w:tr w14:paraId="784E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165" w:type="pct"/>
            <w:tcBorders>
              <w:left w:val="single" w:color="000000" w:sz="8" w:space="0"/>
              <w:bottom w:val="single" w:color="000000" w:sz="8" w:space="0"/>
              <w:right w:val="single" w:color="000000" w:sz="8" w:space="0"/>
            </w:tcBorders>
            <w:shd w:val="clear"/>
            <w:tcMar>
              <w:left w:w="98" w:type="dxa"/>
              <w:right w:w="98" w:type="dxa"/>
            </w:tcMar>
            <w:vAlign w:val="center"/>
          </w:tcPr>
          <w:p w14:paraId="1DB546A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盟市级</w:t>
            </w:r>
          </w:p>
        </w:tc>
        <w:tc>
          <w:tcPr>
            <w:tcW w:w="245" w:type="pct"/>
            <w:tcBorders>
              <w:bottom w:val="single" w:color="000000" w:sz="8" w:space="0"/>
              <w:right w:val="single" w:color="000000" w:sz="8" w:space="0"/>
            </w:tcBorders>
            <w:shd w:val="clear"/>
            <w:tcMar>
              <w:left w:w="108" w:type="dxa"/>
              <w:right w:w="98" w:type="dxa"/>
            </w:tcMar>
            <w:vAlign w:val="center"/>
          </w:tcPr>
          <w:p w14:paraId="3E651D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1500</w:t>
            </w:r>
          </w:p>
        </w:tc>
        <w:tc>
          <w:tcPr>
            <w:tcW w:w="216" w:type="pct"/>
            <w:tcBorders>
              <w:bottom w:val="single" w:color="000000" w:sz="8" w:space="0"/>
              <w:right w:val="single" w:color="000000" w:sz="8" w:space="0"/>
            </w:tcBorders>
            <w:shd w:val="clear"/>
            <w:tcMar>
              <w:left w:w="108" w:type="dxa"/>
              <w:right w:w="98" w:type="dxa"/>
            </w:tcMar>
            <w:vAlign w:val="center"/>
          </w:tcPr>
          <w:p w14:paraId="1D23D62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100</w:t>
            </w:r>
          </w:p>
        </w:tc>
        <w:tc>
          <w:tcPr>
            <w:tcW w:w="211" w:type="pct"/>
            <w:tcBorders>
              <w:bottom w:val="single" w:color="000000" w:sz="8" w:space="0"/>
              <w:right w:val="single" w:color="000000" w:sz="8" w:space="0"/>
            </w:tcBorders>
            <w:shd w:val="clear"/>
            <w:tcMar>
              <w:left w:w="108" w:type="dxa"/>
              <w:right w:w="98" w:type="dxa"/>
            </w:tcMar>
            <w:vAlign w:val="center"/>
          </w:tcPr>
          <w:p w14:paraId="663E071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25</w:t>
            </w:r>
          </w:p>
        </w:tc>
        <w:tc>
          <w:tcPr>
            <w:tcW w:w="212" w:type="pct"/>
            <w:tcBorders>
              <w:bottom w:val="single" w:color="000000" w:sz="8" w:space="0"/>
              <w:right w:val="single" w:color="000000" w:sz="8" w:space="0"/>
            </w:tcBorders>
            <w:shd w:val="clear"/>
            <w:tcMar>
              <w:left w:w="108" w:type="dxa"/>
              <w:right w:w="98" w:type="dxa"/>
            </w:tcMar>
            <w:vAlign w:val="center"/>
          </w:tcPr>
          <w:p w14:paraId="58A636B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17" w:type="pct"/>
            <w:tcBorders>
              <w:bottom w:val="single" w:color="000000" w:sz="8" w:space="0"/>
              <w:right w:val="single" w:color="000000" w:sz="8" w:space="0"/>
            </w:tcBorders>
            <w:shd w:val="clear"/>
            <w:tcMar>
              <w:left w:w="108" w:type="dxa"/>
              <w:right w:w="98" w:type="dxa"/>
            </w:tcMar>
            <w:vAlign w:val="center"/>
          </w:tcPr>
          <w:p w14:paraId="11F96B1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80</w:t>
            </w:r>
          </w:p>
        </w:tc>
        <w:tc>
          <w:tcPr>
            <w:tcW w:w="217" w:type="pct"/>
            <w:tcBorders>
              <w:bottom w:val="single" w:color="000000" w:sz="8" w:space="0"/>
              <w:right w:val="single" w:color="000000" w:sz="8" w:space="0"/>
            </w:tcBorders>
            <w:shd w:val="clear"/>
            <w:tcMar>
              <w:left w:w="108" w:type="dxa"/>
              <w:right w:w="98" w:type="dxa"/>
            </w:tcMar>
            <w:vAlign w:val="center"/>
          </w:tcPr>
          <w:p w14:paraId="3C57E15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50</w:t>
            </w:r>
          </w:p>
        </w:tc>
        <w:tc>
          <w:tcPr>
            <w:tcW w:w="245" w:type="pct"/>
            <w:tcBorders>
              <w:bottom w:val="single" w:color="000000" w:sz="8" w:space="0"/>
              <w:right w:val="single" w:color="000000" w:sz="8" w:space="0"/>
            </w:tcBorders>
            <w:shd w:val="clear"/>
            <w:tcMar>
              <w:left w:w="108" w:type="dxa"/>
              <w:right w:w="98" w:type="dxa"/>
            </w:tcMar>
            <w:vAlign w:val="center"/>
          </w:tcPr>
          <w:p w14:paraId="165549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12" w:type="pct"/>
            <w:tcBorders>
              <w:bottom w:val="single" w:color="000000" w:sz="8" w:space="0"/>
              <w:right w:val="single" w:color="000000" w:sz="8" w:space="0"/>
            </w:tcBorders>
            <w:shd w:val="clear"/>
            <w:tcMar>
              <w:left w:w="108" w:type="dxa"/>
              <w:right w:w="98" w:type="dxa"/>
            </w:tcMar>
            <w:vAlign w:val="center"/>
          </w:tcPr>
          <w:p w14:paraId="5BAB64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45" w:type="pct"/>
            <w:tcBorders>
              <w:top w:val="single" w:color="000000" w:sz="8" w:space="0"/>
              <w:bottom w:val="single" w:color="000000" w:sz="8" w:space="0"/>
              <w:right w:val="single" w:color="000000" w:sz="8" w:space="0"/>
            </w:tcBorders>
            <w:shd w:val="clear"/>
            <w:tcMar>
              <w:left w:w="108" w:type="dxa"/>
              <w:right w:w="98" w:type="dxa"/>
            </w:tcMar>
            <w:vAlign w:val="center"/>
          </w:tcPr>
          <w:p w14:paraId="25B3D72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100</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34FB8A2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80</w:t>
            </w:r>
          </w:p>
        </w:tc>
        <w:tc>
          <w:tcPr>
            <w:tcW w:w="212" w:type="pct"/>
            <w:tcBorders>
              <w:top w:val="single" w:color="000000" w:sz="8" w:space="0"/>
              <w:bottom w:val="single" w:color="000000" w:sz="8" w:space="0"/>
              <w:right w:val="single" w:color="000000" w:sz="8" w:space="0"/>
            </w:tcBorders>
            <w:shd w:val="clear"/>
            <w:tcMar>
              <w:left w:w="108" w:type="dxa"/>
              <w:right w:w="98" w:type="dxa"/>
            </w:tcMar>
            <w:vAlign w:val="center"/>
          </w:tcPr>
          <w:p w14:paraId="36A3A7C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25</w:t>
            </w:r>
          </w:p>
        </w:tc>
        <w:tc>
          <w:tcPr>
            <w:tcW w:w="418" w:type="pct"/>
            <w:tcBorders>
              <w:top w:val="single" w:color="000000" w:sz="8" w:space="0"/>
              <w:bottom w:val="single" w:color="000000" w:sz="8" w:space="0"/>
              <w:right w:val="single" w:color="000000" w:sz="8" w:space="0"/>
            </w:tcBorders>
            <w:shd w:val="clear"/>
            <w:tcMar>
              <w:left w:w="108" w:type="dxa"/>
              <w:right w:w="98" w:type="dxa"/>
            </w:tcMar>
            <w:vAlign w:val="center"/>
          </w:tcPr>
          <w:p w14:paraId="222B1E9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15</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0A27DB2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1.5</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40A4AA6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w:t>
            </w:r>
          </w:p>
        </w:tc>
        <w:tc>
          <w:tcPr>
            <w:tcW w:w="1224" w:type="pct"/>
            <w:tcBorders>
              <w:top w:val="single" w:color="000000" w:sz="8" w:space="0"/>
              <w:bottom w:val="single" w:color="000000" w:sz="8" w:space="0"/>
              <w:right w:val="single" w:color="000000" w:sz="8" w:space="0"/>
            </w:tcBorders>
            <w:shd w:val="clear"/>
            <w:tcMar>
              <w:left w:w="108" w:type="dxa"/>
              <w:right w:w="98" w:type="dxa"/>
            </w:tcMar>
            <w:vAlign w:val="center"/>
          </w:tcPr>
          <w:p w14:paraId="641F93E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0.5</w:t>
            </w:r>
          </w:p>
        </w:tc>
        <w:tc>
          <w:tcPr>
            <w:tcW w:w="303" w:type="pct"/>
            <w:tcBorders>
              <w:top w:val="single" w:color="000000" w:sz="8" w:space="0"/>
              <w:bottom w:val="single" w:color="000000" w:sz="8" w:space="0"/>
              <w:right w:val="single" w:color="000000" w:sz="8" w:space="0"/>
            </w:tcBorders>
            <w:shd w:val="clear"/>
            <w:tcMar>
              <w:left w:w="108" w:type="dxa"/>
              <w:right w:w="98" w:type="dxa"/>
            </w:tcMar>
            <w:vAlign w:val="center"/>
          </w:tcPr>
          <w:p w14:paraId="446C122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0.5</w:t>
            </w:r>
          </w:p>
        </w:tc>
      </w:tr>
      <w:tr w14:paraId="3B1F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165" w:type="pct"/>
            <w:tcBorders>
              <w:left w:val="single" w:color="000000" w:sz="8" w:space="0"/>
              <w:bottom w:val="single" w:color="000000" w:sz="8" w:space="0"/>
              <w:right w:val="single" w:color="000000" w:sz="8" w:space="0"/>
            </w:tcBorders>
            <w:shd w:val="clear"/>
            <w:tcMar>
              <w:left w:w="98" w:type="dxa"/>
              <w:right w:w="98" w:type="dxa"/>
            </w:tcMar>
            <w:vAlign w:val="center"/>
          </w:tcPr>
          <w:p w14:paraId="1A82FB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旗县级</w:t>
            </w:r>
          </w:p>
        </w:tc>
        <w:tc>
          <w:tcPr>
            <w:tcW w:w="245" w:type="pct"/>
            <w:tcBorders>
              <w:bottom w:val="single" w:color="000000" w:sz="8" w:space="0"/>
              <w:right w:val="single" w:color="000000" w:sz="8" w:space="0"/>
            </w:tcBorders>
            <w:shd w:val="clear"/>
            <w:tcMar>
              <w:left w:w="108" w:type="dxa"/>
              <w:right w:w="98" w:type="dxa"/>
            </w:tcMar>
            <w:vAlign w:val="center"/>
          </w:tcPr>
          <w:p w14:paraId="19572DF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200</w:t>
            </w:r>
          </w:p>
        </w:tc>
        <w:tc>
          <w:tcPr>
            <w:tcW w:w="216" w:type="pct"/>
            <w:tcBorders>
              <w:bottom w:val="single" w:color="000000" w:sz="8" w:space="0"/>
              <w:right w:val="single" w:color="000000" w:sz="8" w:space="0"/>
            </w:tcBorders>
            <w:shd w:val="clear"/>
            <w:tcMar>
              <w:left w:w="108" w:type="dxa"/>
              <w:right w:w="98" w:type="dxa"/>
            </w:tcMar>
            <w:vAlign w:val="center"/>
          </w:tcPr>
          <w:p w14:paraId="5EF597F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11" w:type="pct"/>
            <w:tcBorders>
              <w:bottom w:val="single" w:color="000000" w:sz="8" w:space="0"/>
              <w:right w:val="single" w:color="000000" w:sz="8" w:space="0"/>
            </w:tcBorders>
            <w:shd w:val="clear"/>
            <w:tcMar>
              <w:left w:w="108" w:type="dxa"/>
              <w:right w:w="98" w:type="dxa"/>
            </w:tcMar>
            <w:vAlign w:val="center"/>
          </w:tcPr>
          <w:p w14:paraId="30D94F9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12" w:type="pct"/>
            <w:tcBorders>
              <w:bottom w:val="single" w:color="000000" w:sz="8" w:space="0"/>
              <w:right w:val="single" w:color="000000" w:sz="8" w:space="0"/>
            </w:tcBorders>
            <w:shd w:val="clear"/>
            <w:tcMar>
              <w:left w:w="108" w:type="dxa"/>
              <w:right w:w="98" w:type="dxa"/>
            </w:tcMar>
            <w:vAlign w:val="center"/>
          </w:tcPr>
          <w:p w14:paraId="614064C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5</w:t>
            </w:r>
          </w:p>
        </w:tc>
        <w:tc>
          <w:tcPr>
            <w:tcW w:w="217" w:type="pct"/>
            <w:tcBorders>
              <w:bottom w:val="single" w:color="000000" w:sz="8" w:space="0"/>
              <w:right w:val="single" w:color="000000" w:sz="8" w:space="0"/>
            </w:tcBorders>
            <w:shd w:val="clear"/>
            <w:tcMar>
              <w:left w:w="108" w:type="dxa"/>
              <w:right w:w="98" w:type="dxa"/>
            </w:tcMar>
            <w:vAlign w:val="center"/>
          </w:tcPr>
          <w:p w14:paraId="1AA6542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17" w:type="pct"/>
            <w:tcBorders>
              <w:bottom w:val="single" w:color="000000" w:sz="8" w:space="0"/>
              <w:right w:val="single" w:color="000000" w:sz="8" w:space="0"/>
            </w:tcBorders>
            <w:shd w:val="clear"/>
            <w:tcMar>
              <w:left w:w="108" w:type="dxa"/>
              <w:right w:w="98" w:type="dxa"/>
            </w:tcMar>
            <w:vAlign w:val="center"/>
          </w:tcPr>
          <w:p w14:paraId="40C8B1A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245" w:type="pct"/>
            <w:tcBorders>
              <w:bottom w:val="single" w:color="000000" w:sz="8" w:space="0"/>
              <w:right w:val="single" w:color="000000" w:sz="8" w:space="0"/>
            </w:tcBorders>
            <w:shd w:val="clear"/>
            <w:tcMar>
              <w:left w:w="108" w:type="dxa"/>
              <w:right w:w="98" w:type="dxa"/>
            </w:tcMar>
            <w:vAlign w:val="center"/>
          </w:tcPr>
          <w:p w14:paraId="0D35CDD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w:t>
            </w:r>
          </w:p>
        </w:tc>
        <w:tc>
          <w:tcPr>
            <w:tcW w:w="212" w:type="pct"/>
            <w:tcBorders>
              <w:bottom w:val="single" w:color="000000" w:sz="8" w:space="0"/>
              <w:right w:val="single" w:color="000000" w:sz="8" w:space="0"/>
            </w:tcBorders>
            <w:shd w:val="clear"/>
            <w:tcMar>
              <w:left w:w="108" w:type="dxa"/>
              <w:right w:w="98" w:type="dxa"/>
            </w:tcMar>
            <w:vAlign w:val="center"/>
          </w:tcPr>
          <w:p w14:paraId="38AF61A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w:t>
            </w:r>
          </w:p>
        </w:tc>
        <w:tc>
          <w:tcPr>
            <w:tcW w:w="245" w:type="pct"/>
            <w:tcBorders>
              <w:top w:val="single" w:color="000000" w:sz="8" w:space="0"/>
              <w:bottom w:val="single" w:color="000000" w:sz="8" w:space="0"/>
              <w:right w:val="single" w:color="000000" w:sz="8" w:space="0"/>
            </w:tcBorders>
            <w:shd w:val="clear"/>
            <w:tcMar>
              <w:left w:w="108" w:type="dxa"/>
              <w:right w:w="98" w:type="dxa"/>
            </w:tcMar>
            <w:vAlign w:val="center"/>
          </w:tcPr>
          <w:p w14:paraId="6EAC477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20</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5AB77E9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5</w:t>
            </w:r>
          </w:p>
        </w:tc>
        <w:tc>
          <w:tcPr>
            <w:tcW w:w="212" w:type="pct"/>
            <w:tcBorders>
              <w:top w:val="single" w:color="000000" w:sz="8" w:space="0"/>
              <w:bottom w:val="single" w:color="000000" w:sz="8" w:space="0"/>
              <w:right w:val="single" w:color="000000" w:sz="8" w:space="0"/>
            </w:tcBorders>
            <w:shd w:val="clear"/>
            <w:tcMar>
              <w:left w:w="108" w:type="dxa"/>
              <w:right w:w="98" w:type="dxa"/>
            </w:tcMar>
            <w:vAlign w:val="center"/>
          </w:tcPr>
          <w:p w14:paraId="0A933C8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10</w:t>
            </w:r>
          </w:p>
        </w:tc>
        <w:tc>
          <w:tcPr>
            <w:tcW w:w="418" w:type="pct"/>
            <w:tcBorders>
              <w:top w:val="single" w:color="000000" w:sz="8" w:space="0"/>
              <w:bottom w:val="single" w:color="000000" w:sz="8" w:space="0"/>
              <w:right w:val="single" w:color="000000" w:sz="8" w:space="0"/>
            </w:tcBorders>
            <w:shd w:val="clear"/>
            <w:tcMar>
              <w:left w:w="108" w:type="dxa"/>
              <w:right w:w="98" w:type="dxa"/>
            </w:tcMar>
            <w:vAlign w:val="center"/>
          </w:tcPr>
          <w:p w14:paraId="573B4CC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5</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502BDE6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0.1</w:t>
            </w:r>
          </w:p>
        </w:tc>
        <w:tc>
          <w:tcPr>
            <w:tcW w:w="217" w:type="pct"/>
            <w:tcBorders>
              <w:top w:val="single" w:color="000000" w:sz="8" w:space="0"/>
              <w:bottom w:val="single" w:color="000000" w:sz="8" w:space="0"/>
              <w:right w:val="single" w:color="000000" w:sz="8" w:space="0"/>
            </w:tcBorders>
            <w:shd w:val="clear"/>
            <w:tcMar>
              <w:left w:w="108" w:type="dxa"/>
              <w:right w:w="98" w:type="dxa"/>
            </w:tcMar>
            <w:vAlign w:val="center"/>
          </w:tcPr>
          <w:p w14:paraId="11E38FF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0.1</w:t>
            </w:r>
          </w:p>
        </w:tc>
        <w:tc>
          <w:tcPr>
            <w:tcW w:w="1224" w:type="pct"/>
            <w:tcBorders>
              <w:top w:val="single" w:color="000000" w:sz="8" w:space="0"/>
              <w:bottom w:val="single" w:color="000000" w:sz="8" w:space="0"/>
              <w:right w:val="single" w:color="000000" w:sz="8" w:space="0"/>
            </w:tcBorders>
            <w:shd w:val="clear"/>
            <w:tcMar>
              <w:left w:w="108" w:type="dxa"/>
              <w:right w:w="98" w:type="dxa"/>
            </w:tcMar>
            <w:vAlign w:val="center"/>
          </w:tcPr>
          <w:p w14:paraId="7FBE6AB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0.1</w:t>
            </w:r>
          </w:p>
        </w:tc>
        <w:tc>
          <w:tcPr>
            <w:tcW w:w="303" w:type="pct"/>
            <w:tcBorders>
              <w:top w:val="single" w:color="000000" w:sz="8" w:space="0"/>
              <w:bottom w:val="single" w:color="000000" w:sz="8" w:space="0"/>
              <w:right w:val="single" w:color="000000" w:sz="8" w:space="0"/>
            </w:tcBorders>
            <w:shd w:val="clear"/>
            <w:tcMar>
              <w:left w:w="108" w:type="dxa"/>
              <w:right w:w="98" w:type="dxa"/>
            </w:tcMar>
            <w:vAlign w:val="center"/>
          </w:tcPr>
          <w:p w14:paraId="2BB7C5A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sz w:val="24"/>
                <w:szCs w:val="24"/>
                <w:bdr w:val="none" w:color="auto" w:sz="0" w:space="0"/>
              </w:rPr>
              <w:t>0.1</w:t>
            </w:r>
          </w:p>
        </w:tc>
      </w:tr>
      <w:tr w14:paraId="30C5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trPr>
        <w:tc>
          <w:tcPr>
            <w:tcW w:w="4696" w:type="pct"/>
            <w:gridSpan w:val="16"/>
            <w:shd w:val="clear"/>
            <w:tcMar>
              <w:left w:w="108" w:type="dxa"/>
              <w:right w:w="108" w:type="dxa"/>
            </w:tcMar>
            <w:vAlign w:val="center"/>
          </w:tcPr>
          <w:p w14:paraId="05FF366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备注：1.企业能够满足仓储、加工、运输、供应各项能力细分指标之一的，即达到相应企业标准；</w:t>
            </w:r>
          </w:p>
        </w:tc>
        <w:tc>
          <w:tcPr>
            <w:tcW w:w="303" w:type="pct"/>
            <w:shd w:val="clear"/>
            <w:tcMar>
              <w:left w:w="108" w:type="dxa"/>
              <w:right w:w="108" w:type="dxa"/>
            </w:tcMar>
            <w:vAlign w:val="center"/>
          </w:tcPr>
          <w:p w14:paraId="47AC02E4">
            <w:pPr>
              <w:rPr>
                <w:rFonts w:hint="eastAsia" w:ascii="微软雅黑" w:hAnsi="微软雅黑" w:eastAsia="微软雅黑" w:cs="微软雅黑"/>
                <w:sz w:val="24"/>
                <w:szCs w:val="24"/>
              </w:rPr>
            </w:pPr>
          </w:p>
        </w:tc>
      </w:tr>
      <w:tr w14:paraId="5127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0" w:hRule="atLeast"/>
        </w:trPr>
        <w:tc>
          <w:tcPr>
            <w:tcW w:w="4696" w:type="pct"/>
            <w:gridSpan w:val="16"/>
            <w:shd w:val="clear"/>
            <w:tcMar>
              <w:left w:w="108" w:type="dxa"/>
              <w:right w:w="108" w:type="dxa"/>
            </w:tcMar>
            <w:vAlign w:val="center"/>
          </w:tcPr>
          <w:p w14:paraId="451CAC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2.应急保障中心标准，以粮食应急保障企业标准为基础，满足</w:t>
            </w:r>
            <w:r>
              <w:rPr>
                <w:rFonts w:hint="eastAsia" w:ascii="仿宋" w:hAnsi="仿宋" w:eastAsia="仿宋" w:cs="仿宋"/>
                <w:sz w:val="21"/>
                <w:szCs w:val="21"/>
                <w:bdr w:val="none" w:color="auto" w:sz="0" w:space="0"/>
              </w:rPr>
              <w:t>储运</w:t>
            </w:r>
            <w:r>
              <w:rPr>
                <w:rFonts w:hint="eastAsia" w:ascii="宋体" w:hAnsi="宋体" w:eastAsia="宋体" w:cs="宋体"/>
                <w:sz w:val="21"/>
                <w:szCs w:val="21"/>
                <w:bdr w:val="none" w:color="auto" w:sz="0" w:space="0"/>
              </w:rPr>
              <w:t>、加工、</w:t>
            </w:r>
            <w:r>
              <w:rPr>
                <w:rFonts w:hint="eastAsia" w:ascii="仿宋" w:hAnsi="仿宋" w:eastAsia="仿宋" w:cs="仿宋"/>
                <w:sz w:val="21"/>
                <w:szCs w:val="21"/>
                <w:bdr w:val="none" w:color="auto" w:sz="0" w:space="0"/>
              </w:rPr>
              <w:t>配送</w:t>
            </w:r>
            <w:r>
              <w:rPr>
                <w:rFonts w:hint="eastAsia" w:ascii="宋体" w:hAnsi="宋体" w:eastAsia="宋体" w:cs="宋体"/>
                <w:sz w:val="21"/>
                <w:szCs w:val="21"/>
                <w:bdr w:val="none" w:color="auto" w:sz="0" w:space="0"/>
              </w:rPr>
              <w:t>、供应中两个以上功能指标；</w:t>
            </w:r>
          </w:p>
        </w:tc>
        <w:tc>
          <w:tcPr>
            <w:tcW w:w="303" w:type="pct"/>
            <w:shd w:val="clear"/>
            <w:tcMar>
              <w:left w:w="108" w:type="dxa"/>
              <w:right w:w="108" w:type="dxa"/>
            </w:tcMar>
            <w:vAlign w:val="center"/>
          </w:tcPr>
          <w:p w14:paraId="40812D72">
            <w:pPr>
              <w:rPr>
                <w:rFonts w:hint="eastAsia" w:ascii="微软雅黑" w:hAnsi="微软雅黑" w:eastAsia="微软雅黑" w:cs="微软雅黑"/>
                <w:sz w:val="24"/>
                <w:szCs w:val="24"/>
              </w:rPr>
            </w:pPr>
          </w:p>
        </w:tc>
      </w:tr>
      <w:tr w14:paraId="2AF9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0" w:hRule="atLeast"/>
        </w:trPr>
        <w:tc>
          <w:tcPr>
            <w:tcW w:w="4696" w:type="pct"/>
            <w:gridSpan w:val="16"/>
            <w:shd w:val="clear"/>
            <w:tcMar>
              <w:left w:w="108" w:type="dxa"/>
              <w:right w:w="108" w:type="dxa"/>
            </w:tcMar>
            <w:vAlign w:val="center"/>
          </w:tcPr>
          <w:p w14:paraId="7FA2A98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3.此标准为推荐标准，非强制性标准。各盟市、旗县</w:t>
            </w:r>
            <w:r>
              <w:rPr>
                <w:rFonts w:hint="eastAsia" w:ascii="仿宋" w:hAnsi="仿宋" w:eastAsia="仿宋" w:cs="仿宋"/>
                <w:sz w:val="21"/>
                <w:szCs w:val="21"/>
                <w:bdr w:val="none" w:color="auto" w:sz="0" w:space="0"/>
              </w:rPr>
              <w:t>也</w:t>
            </w:r>
            <w:r>
              <w:rPr>
                <w:rFonts w:hint="eastAsia" w:ascii="宋体" w:hAnsi="宋体" w:eastAsia="宋体" w:cs="宋体"/>
                <w:sz w:val="21"/>
                <w:szCs w:val="21"/>
                <w:bdr w:val="none" w:color="auto" w:sz="0" w:space="0"/>
              </w:rPr>
              <w:t>可结合本地实际，在此基础上制定本地标准。</w:t>
            </w:r>
          </w:p>
        </w:tc>
        <w:tc>
          <w:tcPr>
            <w:tcW w:w="303" w:type="pct"/>
            <w:shd w:val="clear"/>
            <w:tcMar>
              <w:left w:w="108" w:type="dxa"/>
              <w:right w:w="108" w:type="dxa"/>
            </w:tcMar>
            <w:vAlign w:val="center"/>
          </w:tcPr>
          <w:p w14:paraId="1DA2E3FF">
            <w:pPr>
              <w:rPr>
                <w:rFonts w:hint="eastAsia" w:ascii="微软雅黑" w:hAnsi="微软雅黑" w:eastAsia="微软雅黑" w:cs="微软雅黑"/>
                <w:sz w:val="24"/>
                <w:szCs w:val="24"/>
              </w:rPr>
            </w:pPr>
          </w:p>
        </w:tc>
      </w:tr>
    </w:tbl>
    <w:p w14:paraId="003AF9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bdr w:val="none" w:color="auto" w:sz="0" w:space="0"/>
        </w:rPr>
        <w:t> </w:t>
      </w:r>
    </w:p>
    <w:p w14:paraId="1B0A427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7"/>
          <w:szCs w:val="27"/>
        </w:rPr>
      </w:pPr>
    </w:p>
    <w:p w14:paraId="6087580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left"/>
        <w:rPr>
          <w:rFonts w:hint="eastAsia" w:ascii="微软雅黑" w:hAnsi="微软雅黑" w:eastAsia="微软雅黑" w:cs="微软雅黑"/>
        </w:rPr>
      </w:pPr>
      <w:r>
        <w:rPr>
          <w:rFonts w:hint="eastAsia" w:ascii="黑体" w:hAnsi="宋体" w:eastAsia="黑体" w:cs="黑体"/>
          <w:i w:val="0"/>
          <w:iCs w:val="0"/>
          <w:caps w:val="0"/>
          <w:color w:val="000000"/>
          <w:spacing w:val="0"/>
          <w:sz w:val="27"/>
          <w:szCs w:val="27"/>
          <w:bdr w:val="none" w:color="auto" w:sz="0" w:space="0"/>
        </w:rPr>
        <w:t>附件2</w:t>
      </w:r>
    </w:p>
    <w:p w14:paraId="0FE732C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iCs w:val="0"/>
          <w:caps w:val="0"/>
          <w:color w:val="000000"/>
          <w:spacing w:val="0"/>
          <w:sz w:val="27"/>
          <w:szCs w:val="27"/>
          <w:bdr w:val="none" w:color="auto" w:sz="0" w:space="0"/>
        </w:rPr>
        <w:t> </w:t>
      </w:r>
    </w:p>
    <w:p w14:paraId="4D61B2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center"/>
        <w:rPr>
          <w:rFonts w:hint="eastAsia" w:ascii="微软雅黑" w:hAnsi="微软雅黑" w:eastAsia="微软雅黑" w:cs="微软雅黑"/>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    粮食应急保障协议书（模板）</w:t>
      </w:r>
    </w:p>
    <w:p w14:paraId="5B38408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left"/>
        <w:rPr>
          <w:rFonts w:hint="eastAsia" w:ascii="微软雅黑" w:hAnsi="微软雅黑" w:eastAsia="微软雅黑" w:cs="微软雅黑"/>
        </w:rPr>
      </w:pPr>
      <w:r>
        <w:rPr>
          <w:rFonts w:hint="default" w:ascii="Times New Roman" w:hAnsi="Times New Roman" w:eastAsia="微软雅黑" w:cs="Times New Roman"/>
          <w:i w:val="0"/>
          <w:iCs w:val="0"/>
          <w:caps w:val="0"/>
          <w:color w:val="000000"/>
          <w:spacing w:val="0"/>
          <w:sz w:val="27"/>
          <w:szCs w:val="27"/>
          <w:bdr w:val="none" w:color="auto" w:sz="0" w:space="0"/>
        </w:rPr>
        <w:t> </w:t>
      </w:r>
    </w:p>
    <w:p w14:paraId="07A63D4E">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甲方名称：</w:t>
      </w:r>
      <w:r>
        <w:rPr>
          <w:i w:val="0"/>
          <w:color w:val="000000"/>
          <w:u w:val="single"/>
          <w:bdr w:val="none" w:color="auto" w:sz="0" w:space="0"/>
        </w:rPr>
        <w:t>                     </w:t>
      </w:r>
      <w:r>
        <w:rPr>
          <w:i w:val="0"/>
          <w:color w:val="000000"/>
          <w:bdr w:val="none" w:color="auto" w:sz="0" w:space="0"/>
        </w:rPr>
        <w:t> （粮食和储备行政管理部门）</w:t>
      </w:r>
    </w:p>
    <w:p w14:paraId="5710C3A2">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甲方住所地：</w:t>
      </w:r>
      <w:r>
        <w:rPr>
          <w:i w:val="0"/>
          <w:color w:val="000000"/>
          <w:u w:val="single"/>
          <w:bdr w:val="none" w:color="auto" w:sz="0" w:space="0"/>
        </w:rPr>
        <w:t>                     </w:t>
      </w:r>
    </w:p>
    <w:p w14:paraId="0F6083DA">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乙方名称：</w:t>
      </w:r>
      <w:r>
        <w:rPr>
          <w:i w:val="0"/>
          <w:color w:val="000000"/>
          <w:u w:val="single"/>
          <w:bdr w:val="none" w:color="auto" w:sz="0" w:space="0"/>
        </w:rPr>
        <w:t>                     </w:t>
      </w:r>
      <w:r>
        <w:rPr>
          <w:i w:val="0"/>
          <w:color w:val="000000"/>
          <w:bdr w:val="none" w:color="auto" w:sz="0" w:space="0"/>
        </w:rPr>
        <w:t> （粮食应急保障企业）</w:t>
      </w:r>
    </w:p>
    <w:p w14:paraId="387BAF82">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乙方住所地：</w:t>
      </w:r>
      <w:r>
        <w:rPr>
          <w:i w:val="0"/>
          <w:color w:val="000000"/>
          <w:u w:val="single"/>
          <w:bdr w:val="none" w:color="auto" w:sz="0" w:space="0"/>
        </w:rPr>
        <w:t>                     </w:t>
      </w:r>
    </w:p>
    <w:p w14:paraId="2E8686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23"/>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18750757">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为进一步规范粮食应急保障企业管理，完善我区粮食应急保障机制，确保在各类应急状态下有效发挥粮食应急保障作用，切实维护粮油市场稳定，按照《粮食安全保障法》《粮食流通管理条例》《粮食应急保障企业管理办法》《内蒙古自治区粮食应急保障企业管理实施细则》等有关法律法规和政策规定，经甲乙双方共同协商，达成如下协议：</w:t>
      </w:r>
    </w:p>
    <w:p w14:paraId="7FB16FCD">
      <w:pPr>
        <w:pStyle w:val="2"/>
        <w:widowControl/>
        <w:numPr>
          <w:ilvl w:val="0"/>
          <w:numId w:val="17"/>
        </w:numPr>
        <w:topLinePunct w:val="0"/>
        <w:ind w:left="0" w:leftChars="0" w:firstLine="0" w:firstLineChars="0"/>
        <w:rPr>
          <w:rFonts w:hint="eastAsia" w:ascii="黑体" w:hAnsi="黑体" w:eastAsia="黑体" w:cs="黑体"/>
          <w:b w:val="0"/>
          <w:bdr w:val="none" w:sz="0" w:space="0"/>
        </w:rPr>
      </w:pPr>
      <w:r>
        <w:t>甲方权利与义务</w:t>
      </w:r>
    </w:p>
    <w:p w14:paraId="5D7ACFCD">
      <w:pPr>
        <w:pStyle w:val="11"/>
        <w:widowControl/>
        <w:numPr>
          <w:ilvl w:val="0"/>
          <w:numId w:val="1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甲方认定乙方为内蒙古自治区粮食应急保障企业，并授予牌匾。</w:t>
      </w:r>
    </w:p>
    <w:p w14:paraId="2FA37F68">
      <w:pPr>
        <w:pStyle w:val="11"/>
        <w:widowControl/>
        <w:numPr>
          <w:ilvl w:val="0"/>
          <w:numId w:val="1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甲方鼓励和支持乙方发展，在符合法律规定、相关政策条件的前提下协调有关部门在项目、资金等方面给予支持。</w:t>
      </w:r>
    </w:p>
    <w:p w14:paraId="2C7FD526">
      <w:pPr>
        <w:pStyle w:val="11"/>
        <w:widowControl/>
        <w:numPr>
          <w:ilvl w:val="0"/>
          <w:numId w:val="1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甲方对乙方日常生产经营情况和应急准备情况等进行监督检查。</w:t>
      </w:r>
    </w:p>
    <w:p w14:paraId="2B26B437">
      <w:pPr>
        <w:pStyle w:val="11"/>
        <w:widowControl/>
        <w:numPr>
          <w:ilvl w:val="0"/>
          <w:numId w:val="1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在执行应急保障任务时，甲方应积极协调有关部门，为乙方解决粮食应急储运、加工、配送、供应过程中的困难。</w:t>
      </w:r>
    </w:p>
    <w:p w14:paraId="0A247205">
      <w:pPr>
        <w:pStyle w:val="11"/>
        <w:widowControl/>
        <w:numPr>
          <w:ilvl w:val="0"/>
          <w:numId w:val="18"/>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甲方应当会同有关单位按照有关规定，及时对乙方完成粮食应急保障任务的费用开支进行核实、清算和拨付。</w:t>
      </w:r>
    </w:p>
    <w:p w14:paraId="4D69F512">
      <w:pPr>
        <w:pStyle w:val="2"/>
        <w:widowControl/>
        <w:numPr>
          <w:ilvl w:val="0"/>
          <w:numId w:val="17"/>
        </w:numPr>
        <w:topLinePunct w:val="0"/>
        <w:ind w:left="0" w:leftChars="0" w:firstLine="0" w:firstLineChars="0"/>
        <w:rPr>
          <w:rFonts w:hint="eastAsia" w:ascii="黑体" w:hAnsi="黑体" w:eastAsia="黑体" w:cs="黑体"/>
          <w:b w:val="0"/>
          <w:bdr w:val="none" w:sz="0" w:space="0"/>
        </w:rPr>
      </w:pPr>
      <w:r>
        <w:t>乙方权利与义务</w:t>
      </w:r>
    </w:p>
    <w:p w14:paraId="54074C0E">
      <w:pPr>
        <w:pStyle w:val="11"/>
        <w:widowControl/>
        <w:numPr>
          <w:ilvl w:val="0"/>
          <w:numId w:val="1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乙方接受甲方的政策指导，按照“平时自营，急时应急”的原则，完善自身粮食应急保障条件，做好人员、物资等各项应急准备。出现生产经营变动等重大情况应及时报告甲方。</w:t>
      </w:r>
    </w:p>
    <w:p w14:paraId="09DDCE14">
      <w:pPr>
        <w:pStyle w:val="11"/>
        <w:widowControl/>
        <w:numPr>
          <w:ilvl w:val="0"/>
          <w:numId w:val="1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乙方应按照甲方要求及时报送粮食加工、销售、库存等信息数据。</w:t>
      </w:r>
    </w:p>
    <w:p w14:paraId="2AFD45EC">
      <w:pPr>
        <w:pStyle w:val="11"/>
        <w:widowControl/>
        <w:numPr>
          <w:ilvl w:val="0"/>
          <w:numId w:val="1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乙方在生产经营过程中，应严格执行国家有关法律、法规和政策规定，不得哄抬物价、扰乱市场秩序，生产经营的粮油产品质量指标和卫生指标应符合国家标准、行业标准。</w:t>
      </w:r>
    </w:p>
    <w:p w14:paraId="591EBF40">
      <w:pPr>
        <w:pStyle w:val="11"/>
        <w:widowControl/>
        <w:numPr>
          <w:ilvl w:val="0"/>
          <w:numId w:val="1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进入粮食应急状态后，乙方应服从甲方统一安排和调度，优先接受甲方征用相关商品和设施，按照甲方下达的指令及时做好粮食应急储运、加工、配送、供应，按时、按质、按量完成粮食应急保障任务。</w:t>
      </w:r>
    </w:p>
    <w:p w14:paraId="4ACC0AC5">
      <w:pPr>
        <w:pStyle w:val="11"/>
        <w:widowControl/>
        <w:numPr>
          <w:ilvl w:val="0"/>
          <w:numId w:val="19"/>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除不可抗力外，乙方拒不承担应急保障任务或故意不完成应急供应任务的，将依法追究法律责任。</w:t>
      </w:r>
    </w:p>
    <w:p w14:paraId="6533F6D3">
      <w:pPr>
        <w:pStyle w:val="2"/>
        <w:widowControl/>
        <w:numPr>
          <w:ilvl w:val="0"/>
          <w:numId w:val="17"/>
        </w:numPr>
        <w:topLinePunct w:val="0"/>
        <w:ind w:left="0" w:leftChars="0" w:firstLine="0" w:firstLineChars="0"/>
        <w:rPr>
          <w:rFonts w:hint="eastAsia" w:ascii="黑体" w:hAnsi="黑体" w:eastAsia="黑体" w:cs="黑体"/>
          <w:b w:val="0"/>
          <w:bdr w:val="none" w:sz="0" w:space="0"/>
        </w:rPr>
      </w:pPr>
      <w:r>
        <w:t>协议的解除</w:t>
      </w:r>
    </w:p>
    <w:p w14:paraId="0D03F488">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乙方有以下情况之一，甲方有权解除与乙方的粮食应急保障协议，收回牌匾。</w:t>
      </w:r>
    </w:p>
    <w:p w14:paraId="46C36B17">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在粮食应急保供中不服从有关部门的统一安排调度，拒不执行应急保供任务，或执行不力，落实任务不到位的；</w:t>
      </w:r>
    </w:p>
    <w:p w14:paraId="50EF0F62">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在粮食和储备行政管理部门责令限期整改后，整改不到位的；</w:t>
      </w:r>
    </w:p>
    <w:p w14:paraId="5B3A8170">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通过隐瞒情况、提供虚假材料，或以欺骗、贿赂等不正当手段确定为粮食应急保障企业的；</w:t>
      </w:r>
    </w:p>
    <w:p w14:paraId="07F1B519">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发生重大变故或存在重大经营风险，影响企业正常经营的；</w:t>
      </w:r>
    </w:p>
    <w:p w14:paraId="471D8581">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违反粮食生产、流通和储备等相关规定的；</w:t>
      </w:r>
    </w:p>
    <w:p w14:paraId="2C093E71">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造成生产安全事故或存在重大生产安全隐患的；</w:t>
      </w:r>
    </w:p>
    <w:p w14:paraId="3E81D471">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被列入不良信用记录的；</w:t>
      </w:r>
    </w:p>
    <w:p w14:paraId="7F579424">
      <w:pPr>
        <w:pStyle w:val="11"/>
        <w:widowControl/>
        <w:numPr>
          <w:ilvl w:val="0"/>
          <w:numId w:val="20"/>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根据自身状况，主动申请退出应急保障企业的。</w:t>
      </w:r>
    </w:p>
    <w:p w14:paraId="06794C20">
      <w:pPr>
        <w:pStyle w:val="2"/>
        <w:widowControl/>
        <w:numPr>
          <w:ilvl w:val="0"/>
          <w:numId w:val="17"/>
        </w:numPr>
        <w:topLinePunct w:val="0"/>
        <w:ind w:left="0" w:leftChars="0" w:firstLine="0" w:firstLineChars="0"/>
        <w:rPr>
          <w:rFonts w:hint="eastAsia" w:ascii="黑体" w:hAnsi="黑体" w:eastAsia="黑体" w:cs="黑体"/>
          <w:b w:val="0"/>
          <w:bdr w:val="none" w:sz="0" w:space="0"/>
        </w:rPr>
      </w:pPr>
      <w:r>
        <w:t>补充、修改和变更</w:t>
      </w:r>
    </w:p>
    <w:p w14:paraId="776E3037">
      <w:pPr>
        <w:pStyle w:val="11"/>
        <w:widowControl/>
        <w:numPr>
          <w:ilvl w:val="0"/>
          <w:numId w:val="2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甲乙双方协商一致，可以对本协议进行补充、修改或变更。</w:t>
      </w:r>
    </w:p>
    <w:p w14:paraId="645B13A2">
      <w:pPr>
        <w:pStyle w:val="11"/>
        <w:widowControl/>
        <w:numPr>
          <w:ilvl w:val="0"/>
          <w:numId w:val="2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对本协议的补充、修改或变更必须以书面形式进行。补充、修改或变更的协议的签署及生效方式与本协议的签署及生效方式相同。</w:t>
      </w:r>
    </w:p>
    <w:p w14:paraId="782ECA52">
      <w:pPr>
        <w:pStyle w:val="11"/>
        <w:widowControl/>
        <w:numPr>
          <w:ilvl w:val="0"/>
          <w:numId w:val="2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甲乙双方可协商补充、修改和变更条款并签署补充协议，所补充协议与本协议具有同等法律效力。</w:t>
      </w:r>
    </w:p>
    <w:p w14:paraId="740BFEBC">
      <w:pPr>
        <w:pStyle w:val="2"/>
        <w:widowControl/>
        <w:numPr>
          <w:ilvl w:val="0"/>
          <w:numId w:val="17"/>
        </w:numPr>
        <w:topLinePunct w:val="0"/>
        <w:ind w:left="0" w:leftChars="0" w:firstLine="0" w:firstLineChars="0"/>
        <w:rPr>
          <w:rFonts w:hint="eastAsia" w:ascii="黑体" w:hAnsi="黑体" w:eastAsia="黑体" w:cs="黑体"/>
          <w:b w:val="0"/>
          <w:bdr w:val="none" w:sz="0" w:space="0"/>
        </w:rPr>
      </w:pPr>
      <w:r>
        <w:t>协议的生效</w:t>
      </w:r>
    </w:p>
    <w:p w14:paraId="7C938205">
      <w:pPr>
        <w:pStyle w:val="11"/>
        <w:widowControl/>
        <w:numPr>
          <w:ilvl w:val="0"/>
          <w:numId w:val="2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本协议经双方法定代表人或授权代表签字并加盖单位公章后生效。</w:t>
      </w:r>
    </w:p>
    <w:p w14:paraId="5016C7BA">
      <w:pPr>
        <w:pStyle w:val="11"/>
        <w:widowControl/>
        <w:numPr>
          <w:ilvl w:val="0"/>
          <w:numId w:val="2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color w:val="000000"/>
          <w:bdr w:val="none" w:sz="0" w:space="0"/>
        </w:rPr>
      </w:pPr>
      <w:r>
        <w:rPr>
          <w:i w:val="0"/>
          <w:color w:val="000000"/>
          <w:bdr w:val="none" w:color="auto" w:sz="0" w:space="0"/>
        </w:rPr>
        <w:t>本协议一式两份，甲、乙双方各执一份。</w:t>
      </w:r>
    </w:p>
    <w:p w14:paraId="5F0C11A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6" w:right="0"/>
        <w:jc w:val="left"/>
        <w:rPr>
          <w:rFonts w:hint="eastAsia" w:ascii="Times New Roman" w:hAnsi="Times New Roman" w:eastAsia="宋体" w:cs="Times New Roman"/>
          <w:sz w:val="24"/>
          <w:szCs w:val="24"/>
        </w:rPr>
      </w:pPr>
      <w:r>
        <w:rPr>
          <w:rFonts w:hint="eastAsia" w:ascii="Times New Roman" w:hAnsi="Times New Roman" w:eastAsia="宋体" w:cs="Times New Roman"/>
          <w:i w:val="0"/>
          <w:iCs w:val="0"/>
          <w:caps w:val="0"/>
          <w:color w:val="000000"/>
          <w:spacing w:val="0"/>
          <w:sz w:val="24"/>
          <w:szCs w:val="24"/>
          <w:bdr w:val="none" w:color="auto" w:sz="0" w:space="0"/>
        </w:rPr>
        <w:t>‌甲方（盖章）‌：</w:t>
      </w:r>
    </w:p>
    <w:p w14:paraId="20B92E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6" w:right="0"/>
        <w:jc w:val="left"/>
        <w:rPr>
          <w:rFonts w:hint="eastAsia" w:ascii="Times New Roman" w:hAnsi="Times New Roman" w:eastAsia="宋体" w:cs="Times New Roman"/>
          <w:sz w:val="24"/>
          <w:szCs w:val="24"/>
        </w:rPr>
      </w:pPr>
      <w:r>
        <w:rPr>
          <w:rFonts w:hint="eastAsia" w:ascii="Times New Roman" w:hAnsi="Times New Roman" w:eastAsia="宋体" w:cs="Times New Roman"/>
          <w:i w:val="0"/>
          <w:iCs w:val="0"/>
          <w:caps w:val="0"/>
          <w:color w:val="000000"/>
          <w:spacing w:val="0"/>
          <w:sz w:val="24"/>
          <w:szCs w:val="24"/>
          <w:bdr w:val="none" w:color="auto" w:sz="0" w:space="0"/>
        </w:rPr>
        <w:t>法定代表人/授权代表签字：</w:t>
      </w:r>
    </w:p>
    <w:p w14:paraId="50E6C72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6" w:right="0"/>
        <w:jc w:val="left"/>
        <w:rPr>
          <w:rFonts w:hint="eastAsia" w:ascii="Times New Roman" w:hAnsi="Times New Roman" w:eastAsia="宋体" w:cs="Times New Roman"/>
          <w:sz w:val="24"/>
          <w:szCs w:val="24"/>
        </w:rPr>
      </w:pPr>
      <w:r>
        <w:rPr>
          <w:rFonts w:hint="eastAsia" w:ascii="Times New Roman" w:hAnsi="Times New Roman" w:eastAsia="宋体" w:cs="Times New Roman"/>
          <w:i w:val="0"/>
          <w:iCs w:val="0"/>
          <w:caps w:val="0"/>
          <w:color w:val="000000"/>
          <w:spacing w:val="0"/>
          <w:sz w:val="24"/>
          <w:szCs w:val="24"/>
          <w:bdr w:val="none" w:color="auto" w:sz="0" w:space="0"/>
        </w:rPr>
        <w:t>日期：</w:t>
      </w:r>
    </w:p>
    <w:p w14:paraId="17A462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6" w:right="0"/>
        <w:jc w:val="left"/>
        <w:rPr>
          <w:rFonts w:hint="eastAsia" w:ascii="Times New Roman" w:hAnsi="Times New Roman" w:eastAsia="宋体" w:cs="Times New Roman"/>
          <w:sz w:val="24"/>
          <w:szCs w:val="24"/>
        </w:rPr>
      </w:pPr>
      <w:r>
        <w:rPr>
          <w:rFonts w:hint="eastAsia" w:ascii="Times New Roman" w:hAnsi="Times New Roman" w:eastAsia="宋体" w:cs="Times New Roman"/>
          <w:i w:val="0"/>
          <w:iCs w:val="0"/>
          <w:caps w:val="0"/>
          <w:color w:val="000000"/>
          <w:spacing w:val="0"/>
          <w:sz w:val="24"/>
          <w:szCs w:val="24"/>
          <w:bdr w:val="none" w:color="auto" w:sz="0" w:space="0"/>
        </w:rPr>
        <w:t>‌乙方（盖章）‌：</w:t>
      </w:r>
    </w:p>
    <w:p w14:paraId="330094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6" w:right="0"/>
        <w:jc w:val="left"/>
        <w:rPr>
          <w:rFonts w:hint="eastAsia" w:ascii="Times New Roman" w:hAnsi="Times New Roman" w:eastAsia="宋体" w:cs="Times New Roman"/>
          <w:sz w:val="24"/>
          <w:szCs w:val="24"/>
        </w:rPr>
      </w:pPr>
      <w:r>
        <w:rPr>
          <w:rFonts w:hint="eastAsia" w:ascii="Times New Roman" w:hAnsi="Times New Roman" w:eastAsia="宋体" w:cs="Times New Roman"/>
          <w:i w:val="0"/>
          <w:iCs w:val="0"/>
          <w:caps w:val="0"/>
          <w:color w:val="000000"/>
          <w:spacing w:val="0"/>
          <w:sz w:val="24"/>
          <w:szCs w:val="24"/>
          <w:bdr w:val="none" w:color="auto" w:sz="0" w:space="0"/>
        </w:rPr>
        <w:t>法定代表人签字：</w:t>
      </w:r>
    </w:p>
    <w:p w14:paraId="3BFBB4C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6" w:right="0"/>
        <w:jc w:val="left"/>
        <w:rPr>
          <w:rFonts w:hint="eastAsia" w:ascii="Times New Roman" w:hAnsi="Times New Roman" w:eastAsia="宋体" w:cs="Times New Roman"/>
          <w:sz w:val="24"/>
          <w:szCs w:val="24"/>
        </w:rPr>
      </w:pPr>
      <w:r>
        <w:rPr>
          <w:rFonts w:hint="eastAsia" w:ascii="Times New Roman" w:hAnsi="Times New Roman" w:eastAsia="宋体" w:cs="Times New Roman"/>
          <w:i w:val="0"/>
          <w:iCs w:val="0"/>
          <w:caps w:val="0"/>
          <w:color w:val="000000"/>
          <w:spacing w:val="0"/>
          <w:sz w:val="24"/>
          <w:szCs w:val="24"/>
          <w:bdr w:val="none" w:color="auto" w:sz="0" w:space="0"/>
        </w:rPr>
        <w:t>日期：</w:t>
      </w:r>
    </w:p>
    <w:p w14:paraId="7BF1259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rPr>
        <w:t> </w:t>
      </w:r>
    </w:p>
    <w:p w14:paraId="5F68685C">
      <w:pPr>
        <w:pStyle w:val="17"/>
        <w:widowControl/>
      </w:pPr>
      <w:r>
        <w:br w:type="textWrapping"/>
      </w:r>
      <w:r>
        <w:t>附件3</w:t>
      </w:r>
    </w:p>
    <w:p w14:paraId="5F8ECBE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uto"/>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rPr>
        <w:drawing>
          <wp:inline distT="0" distB="0" distL="114300" distR="114300">
            <wp:extent cx="3971925" cy="28765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971925" cy="28765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4"/>
          <w:szCs w:val="24"/>
          <w:bdr w:val="none" w:color="auto" w:sz="0" w:space="0"/>
        </w:rPr>
        <w:t> </w:t>
      </w:r>
    </w:p>
    <w:p w14:paraId="1C207A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8"/>
          <w:szCs w:val="28"/>
          <w:bdr w:val="none" w:color="auto" w:sz="0" w:space="0"/>
        </w:rPr>
        <w:t> </w:t>
      </w:r>
    </w:p>
    <w:p w14:paraId="5B04BD8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8"/>
          <w:szCs w:val="28"/>
          <w:bdr w:val="none" w:color="auto" w:sz="0" w:space="0"/>
        </w:rPr>
        <w:t> </w:t>
      </w:r>
    </w:p>
    <w:p w14:paraId="24B17EA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8"/>
          <w:szCs w:val="28"/>
          <w:bdr w:val="none" w:color="auto" w:sz="0" w:space="0"/>
        </w:rPr>
        <w:t> </w:t>
      </w:r>
    </w:p>
    <w:p w14:paraId="6BA5B62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8"/>
          <w:szCs w:val="28"/>
          <w:bdr w:val="none" w:color="auto" w:sz="0" w:space="0"/>
        </w:rPr>
        <w:t> </w:t>
      </w:r>
    </w:p>
    <w:p w14:paraId="28639A8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6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6CC25F1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6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31A6CD8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6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iCs w:val="0"/>
          <w:caps w:val="0"/>
          <w:color w:val="000000"/>
          <w:spacing w:val="0"/>
          <w:sz w:val="27"/>
          <w:szCs w:val="27"/>
          <w:bdr w:val="none" w:color="auto" w:sz="0" w:space="0"/>
        </w:rPr>
        <w:t> </w:t>
      </w:r>
    </w:p>
    <w:p w14:paraId="5FDA1F31">
      <w:pPr>
        <w:pStyle w:val="11"/>
        <w:widowControl/>
        <w:pBdr>
          <w:top w:val="none" w:color="auto" w:sz="0" w:space="0"/>
          <w:left w:val="none" w:color="auto" w:sz="0" w:space="0"/>
          <w:bottom w:val="none" w:color="auto" w:sz="0" w:space="0"/>
          <w:right w:val="none" w:color="auto" w:sz="0" w:space="0"/>
        </w:pBdr>
      </w:pPr>
      <w:r>
        <w:rPr>
          <w:i w:val="0"/>
          <w:color w:val="000000"/>
          <w:bdr w:val="none" w:color="auto" w:sz="0" w:space="0"/>
        </w:rPr>
        <w:t>说明：</w:t>
      </w:r>
    </w:p>
    <w:p w14:paraId="1BF66775">
      <w:pPr>
        <w:pStyle w:val="11"/>
        <w:widowControl/>
        <w:pBdr>
          <w:top w:val="none" w:color="auto" w:sz="0" w:space="0"/>
          <w:left w:val="none" w:color="auto" w:sz="0" w:space="0"/>
          <w:bottom w:val="none" w:color="auto" w:sz="0" w:space="0"/>
          <w:right w:val="none" w:color="auto" w:sz="0" w:space="0"/>
        </w:pBdr>
      </w:pPr>
      <w:r>
        <w:t>.</w:t>
      </w:r>
      <w:r>
        <w:rPr>
          <w:i w:val="0"/>
          <w:color w:val="000000"/>
          <w:bdr w:val="none" w:color="auto" w:sz="0" w:space="0"/>
        </w:rPr>
        <w:t>牌匾大小规格为600*400*25mm，材质为1mm厚不锈钢，面拉丝处理。</w:t>
      </w:r>
    </w:p>
    <w:p w14:paraId="7F9B0CAD">
      <w:pPr>
        <w:pStyle w:val="11"/>
        <w:widowControl/>
        <w:numPr>
          <w:ilvl w:val="0"/>
          <w:numId w:val="2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“X（省、市、县）粮食和物资储备局”字体如上，颜色为黑色；“X（省、市、县）粮食应急保障企业”字体如上，颜色为红色。</w:t>
      </w:r>
    </w:p>
    <w:p w14:paraId="03EDC288">
      <w:pPr>
        <w:pStyle w:val="11"/>
        <w:widowControl/>
        <w:numPr>
          <w:ilvl w:val="0"/>
          <w:numId w:val="2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落款为授权的粮食和储备行政管理部门。</w:t>
      </w:r>
    </w:p>
    <w:p w14:paraId="5805721D">
      <w:pPr>
        <w:pStyle w:val="11"/>
        <w:widowControl/>
        <w:numPr>
          <w:ilvl w:val="0"/>
          <w:numId w:val="2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授牌对象为非企业性质的社会主体，授予名称为“X（省、市、县）粮食应急保障网点”。</w:t>
      </w:r>
    </w:p>
    <w:p w14:paraId="01F7F07A">
      <w:pPr>
        <w:pStyle w:val="11"/>
        <w:widowControl/>
        <w:numPr>
          <w:ilvl w:val="0"/>
          <w:numId w:val="23"/>
        </w:numPr>
        <w:pBdr>
          <w:top w:val="none" w:color="auto" w:sz="0" w:space="0"/>
          <w:left w:val="none" w:color="auto" w:sz="0" w:space="0"/>
          <w:bottom w:val="none" w:color="auto" w:sz="0" w:space="0"/>
          <w:right w:val="none" w:color="auto" w:sz="0" w:space="0"/>
        </w:pBdr>
        <w:ind w:left="0" w:leftChars="0" w:firstLine="480" w:firstLineChars="0"/>
        <w:rPr>
          <w:b w:val="0"/>
          <w:color w:val="000000"/>
          <w:bdr w:val="none" w:sz="0" w:space="0"/>
        </w:rPr>
      </w:pPr>
      <w:r>
        <w:rPr>
          <w:i w:val="0"/>
          <w:color w:val="000000"/>
          <w:bdr w:val="none" w:color="auto" w:sz="0" w:space="0"/>
        </w:rPr>
        <w:t>是否放置单位标识，以及颜色、大小，可自行决定。</w:t>
      </w:r>
    </w:p>
    <w:p w14:paraId="747373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661BC3-C71F-4053-ADB0-DA635F94D9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1756C69-682D-4B0B-8EA2-03D0AAA77309}"/>
  </w:font>
  <w:font w:name="方正小标宋简体">
    <w:panose1 w:val="02000000000000000000"/>
    <w:charset w:val="86"/>
    <w:family w:val="auto"/>
    <w:pitch w:val="default"/>
    <w:sig w:usb0="00000001" w:usb1="08000000" w:usb2="00000000" w:usb3="00000000" w:csb0="00040000" w:csb1="00000000"/>
    <w:embedRegular r:id="rId3" w:fontKey="{84387FB0-1144-4140-BD15-3CB1323FBBFC}"/>
  </w:font>
  <w:font w:name="仿宋_GB2312">
    <w:panose1 w:val="02010609030101010101"/>
    <w:charset w:val="86"/>
    <w:family w:val="auto"/>
    <w:pitch w:val="default"/>
    <w:sig w:usb0="00000001" w:usb1="080E0000" w:usb2="00000000" w:usb3="00000000" w:csb0="00040000" w:csb1="00000000"/>
    <w:embedRegular r:id="rId4" w:fontKey="{08C63553-A087-491D-AC0D-2BC444752111}"/>
  </w:font>
  <w:font w:name="仿宋">
    <w:panose1 w:val="02010609060101010101"/>
    <w:charset w:val="86"/>
    <w:family w:val="auto"/>
    <w:pitch w:val="default"/>
    <w:sig w:usb0="800002BF" w:usb1="38CF7CFA" w:usb2="00000016" w:usb3="00000000" w:csb0="00040001" w:csb1="00000000"/>
    <w:embedRegular r:id="rId5" w:fontKey="{31CE8666-34EC-4E94-9671-5CAA50BCEE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28335"/>
    <w:multiLevelType w:val="singleLevel"/>
    <w:tmpl w:val="87128335"/>
    <w:lvl w:ilvl="0" w:tentative="0">
      <w:start w:val="1"/>
      <w:numFmt w:val="chineseCounting"/>
      <w:suff w:val="nothing"/>
      <w:lvlText w:val="（%1）"/>
      <w:lvlJc w:val="left"/>
      <w:pPr>
        <w:ind w:left="0" w:firstLine="480"/>
      </w:pPr>
      <w:rPr>
        <w:rFonts w:hint="eastAsia"/>
      </w:rPr>
    </w:lvl>
  </w:abstractNum>
  <w:abstractNum w:abstractNumId="1">
    <w:nsid w:val="912FC532"/>
    <w:multiLevelType w:val="singleLevel"/>
    <w:tmpl w:val="912FC532"/>
    <w:lvl w:ilvl="0" w:tentative="0">
      <w:start w:val="1"/>
      <w:numFmt w:val="chineseCounting"/>
      <w:suff w:val="nothing"/>
      <w:lvlText w:val="（%1）"/>
      <w:lvlJc w:val="left"/>
      <w:pPr>
        <w:ind w:left="0" w:firstLine="480"/>
      </w:pPr>
      <w:rPr>
        <w:rFonts w:hint="eastAsia"/>
      </w:rPr>
    </w:lvl>
  </w:abstractNum>
  <w:abstractNum w:abstractNumId="2">
    <w:nsid w:val="AA800E9C"/>
    <w:multiLevelType w:val="singleLevel"/>
    <w:tmpl w:val="AA800E9C"/>
    <w:lvl w:ilvl="0" w:tentative="0">
      <w:start w:val="2"/>
      <w:numFmt w:val="decimal"/>
      <w:suff w:val="space"/>
      <w:lvlText w:val="%1."/>
      <w:lvlJc w:val="left"/>
      <w:pPr>
        <w:ind w:left="0" w:firstLine="480"/>
      </w:pPr>
      <w:rPr>
        <w:rFonts w:hint="default"/>
      </w:rPr>
    </w:lvl>
  </w:abstractNum>
  <w:abstractNum w:abstractNumId="3">
    <w:nsid w:val="AC2332F4"/>
    <w:multiLevelType w:val="singleLevel"/>
    <w:tmpl w:val="AC2332F4"/>
    <w:lvl w:ilvl="0" w:tentative="0">
      <w:start w:val="1"/>
      <w:numFmt w:val="chineseCounting"/>
      <w:suff w:val="nothing"/>
      <w:lvlText w:val="（%1）"/>
      <w:lvlJc w:val="left"/>
      <w:pPr>
        <w:ind w:left="0" w:firstLine="480"/>
      </w:pPr>
      <w:rPr>
        <w:rFonts w:hint="eastAsia"/>
      </w:rPr>
    </w:lvl>
  </w:abstractNum>
  <w:abstractNum w:abstractNumId="4">
    <w:nsid w:val="B5F72219"/>
    <w:multiLevelType w:val="singleLevel"/>
    <w:tmpl w:val="B5F72219"/>
    <w:lvl w:ilvl="0" w:tentative="0">
      <w:start w:val="1"/>
      <w:numFmt w:val="chineseCounting"/>
      <w:suff w:val="nothing"/>
      <w:lvlText w:val="（%1）"/>
      <w:lvlJc w:val="left"/>
      <w:pPr>
        <w:ind w:left="0" w:firstLine="480"/>
      </w:pPr>
      <w:rPr>
        <w:rFonts w:hint="eastAsia"/>
      </w:rPr>
    </w:lvl>
  </w:abstractNum>
  <w:abstractNum w:abstractNumId="5">
    <w:nsid w:val="C5D09B59"/>
    <w:multiLevelType w:val="singleLevel"/>
    <w:tmpl w:val="C5D09B59"/>
    <w:lvl w:ilvl="0" w:tentative="0">
      <w:start w:val="1"/>
      <w:numFmt w:val="chineseCounting"/>
      <w:suff w:val="nothing"/>
      <w:lvlText w:val="%1、"/>
      <w:lvlJc w:val="left"/>
      <w:pPr>
        <w:ind w:left="0" w:firstLine="0"/>
      </w:pPr>
      <w:rPr>
        <w:rFonts w:hint="eastAsia"/>
      </w:rPr>
    </w:lvl>
  </w:abstractNum>
  <w:abstractNum w:abstractNumId="6">
    <w:nsid w:val="E50997B0"/>
    <w:multiLevelType w:val="singleLevel"/>
    <w:tmpl w:val="E50997B0"/>
    <w:lvl w:ilvl="0" w:tentative="0">
      <w:start w:val="1"/>
      <w:numFmt w:val="chineseCounting"/>
      <w:suff w:val="nothing"/>
      <w:lvlText w:val="（%1）"/>
      <w:lvlJc w:val="left"/>
      <w:pPr>
        <w:ind w:left="0" w:firstLine="480"/>
      </w:pPr>
      <w:rPr>
        <w:rFonts w:hint="eastAsia"/>
      </w:rPr>
    </w:lvl>
  </w:abstractNum>
  <w:abstractNum w:abstractNumId="7">
    <w:nsid w:val="EA5E2D45"/>
    <w:multiLevelType w:val="singleLevel"/>
    <w:tmpl w:val="EA5E2D45"/>
    <w:lvl w:ilvl="0" w:tentative="0">
      <w:start w:val="1"/>
      <w:numFmt w:val="chineseCounting"/>
      <w:suff w:val="nothing"/>
      <w:lvlText w:val="（%1）"/>
      <w:lvlJc w:val="left"/>
      <w:pPr>
        <w:ind w:left="0" w:firstLine="480"/>
      </w:pPr>
      <w:rPr>
        <w:rFonts w:hint="eastAsia"/>
      </w:rPr>
    </w:lvl>
  </w:abstractNum>
  <w:abstractNum w:abstractNumId="8">
    <w:nsid w:val="EE899EC5"/>
    <w:multiLevelType w:val="singleLevel"/>
    <w:tmpl w:val="EE899EC5"/>
    <w:lvl w:ilvl="0" w:tentative="0">
      <w:start w:val="8"/>
      <w:numFmt w:val="chineseCounting"/>
      <w:suff w:val="space"/>
      <w:lvlText w:val="第%1条"/>
      <w:lvlJc w:val="left"/>
      <w:pPr>
        <w:ind w:left="0" w:firstLine="480"/>
      </w:pPr>
      <w:rPr>
        <w:rFonts w:hint="eastAsia"/>
      </w:rPr>
    </w:lvl>
  </w:abstractNum>
  <w:abstractNum w:abstractNumId="9">
    <w:nsid w:val="EEB8D1FE"/>
    <w:multiLevelType w:val="singleLevel"/>
    <w:tmpl w:val="EEB8D1FE"/>
    <w:lvl w:ilvl="0" w:tentative="0">
      <w:start w:val="1"/>
      <w:numFmt w:val="chineseCounting"/>
      <w:suff w:val="nothing"/>
      <w:lvlText w:val="（%1）"/>
      <w:lvlJc w:val="left"/>
      <w:pPr>
        <w:ind w:left="0" w:firstLine="480"/>
      </w:pPr>
      <w:rPr>
        <w:rFonts w:hint="eastAsia"/>
      </w:rPr>
    </w:lvl>
  </w:abstractNum>
  <w:abstractNum w:abstractNumId="10">
    <w:nsid w:val="F765E1EF"/>
    <w:multiLevelType w:val="singleLevel"/>
    <w:tmpl w:val="F765E1EF"/>
    <w:lvl w:ilvl="0" w:tentative="0">
      <w:start w:val="1"/>
      <w:numFmt w:val="chineseCounting"/>
      <w:suff w:val="nothing"/>
      <w:lvlText w:val="（%1）"/>
      <w:lvlJc w:val="left"/>
      <w:pPr>
        <w:ind w:left="0" w:firstLine="480"/>
      </w:pPr>
      <w:rPr>
        <w:rFonts w:hint="eastAsia"/>
      </w:rPr>
    </w:lvl>
  </w:abstractNum>
  <w:abstractNum w:abstractNumId="11">
    <w:nsid w:val="FD1D1696"/>
    <w:multiLevelType w:val="singleLevel"/>
    <w:tmpl w:val="FD1D1696"/>
    <w:lvl w:ilvl="0" w:tentative="0">
      <w:start w:val="1"/>
      <w:numFmt w:val="chineseCounting"/>
      <w:suff w:val="nothing"/>
      <w:lvlText w:val="（%1）"/>
      <w:lvlJc w:val="left"/>
      <w:pPr>
        <w:ind w:left="0" w:firstLine="480"/>
      </w:pPr>
      <w:rPr>
        <w:rFonts w:hint="eastAsia"/>
      </w:rPr>
    </w:lvl>
  </w:abstractNum>
  <w:abstractNum w:abstractNumId="12">
    <w:nsid w:val="07D3C7C3"/>
    <w:multiLevelType w:val="singleLevel"/>
    <w:tmpl w:val="07D3C7C3"/>
    <w:lvl w:ilvl="0" w:tentative="0">
      <w:start w:val="28"/>
      <w:numFmt w:val="chineseCounting"/>
      <w:suff w:val="space"/>
      <w:lvlText w:val="第%1条"/>
      <w:lvlJc w:val="left"/>
      <w:pPr>
        <w:ind w:left="0" w:firstLine="480"/>
      </w:pPr>
      <w:rPr>
        <w:rFonts w:hint="eastAsia"/>
      </w:rPr>
    </w:lvl>
  </w:abstractNum>
  <w:abstractNum w:abstractNumId="13">
    <w:nsid w:val="0D943FEB"/>
    <w:multiLevelType w:val="singleLevel"/>
    <w:tmpl w:val="0D943FEB"/>
    <w:lvl w:ilvl="0" w:tentative="0">
      <w:start w:val="31"/>
      <w:numFmt w:val="chineseCounting"/>
      <w:suff w:val="space"/>
      <w:lvlText w:val="第%1条"/>
      <w:lvlJc w:val="left"/>
      <w:pPr>
        <w:ind w:left="0" w:firstLine="480"/>
      </w:pPr>
      <w:rPr>
        <w:rFonts w:hint="eastAsia"/>
      </w:rPr>
    </w:lvl>
  </w:abstractNum>
  <w:abstractNum w:abstractNumId="14">
    <w:nsid w:val="13E60B64"/>
    <w:multiLevelType w:val="singleLevel"/>
    <w:tmpl w:val="13E60B64"/>
    <w:lvl w:ilvl="0" w:tentative="0">
      <w:start w:val="1"/>
      <w:numFmt w:val="chineseCounting"/>
      <w:suff w:val="space"/>
      <w:lvlText w:val="第%1条"/>
      <w:lvlJc w:val="left"/>
      <w:pPr>
        <w:ind w:left="0" w:firstLine="480"/>
      </w:pPr>
      <w:rPr>
        <w:rFonts w:hint="eastAsia"/>
      </w:rPr>
    </w:lvl>
  </w:abstractNum>
  <w:abstractNum w:abstractNumId="15">
    <w:nsid w:val="21E8A631"/>
    <w:multiLevelType w:val="singleLevel"/>
    <w:tmpl w:val="21E8A631"/>
    <w:lvl w:ilvl="0" w:tentative="0">
      <w:start w:val="1"/>
      <w:numFmt w:val="chineseCounting"/>
      <w:suff w:val="space"/>
      <w:lvlText w:val="第%1章"/>
      <w:lvlJc w:val="left"/>
      <w:pPr>
        <w:ind w:left="0" w:firstLine="0"/>
      </w:pPr>
      <w:rPr>
        <w:rFonts w:hint="eastAsia"/>
      </w:rPr>
    </w:lvl>
  </w:abstractNum>
  <w:abstractNum w:abstractNumId="16">
    <w:nsid w:val="26AAEC43"/>
    <w:multiLevelType w:val="singleLevel"/>
    <w:tmpl w:val="26AAEC43"/>
    <w:lvl w:ilvl="0" w:tentative="0">
      <w:start w:val="24"/>
      <w:numFmt w:val="chineseCounting"/>
      <w:suff w:val="space"/>
      <w:lvlText w:val="第%1条"/>
      <w:lvlJc w:val="left"/>
      <w:pPr>
        <w:ind w:left="0" w:firstLine="480"/>
      </w:pPr>
      <w:rPr>
        <w:rFonts w:hint="eastAsia"/>
      </w:rPr>
    </w:lvl>
  </w:abstractNum>
  <w:abstractNum w:abstractNumId="17">
    <w:nsid w:val="4520E746"/>
    <w:multiLevelType w:val="singleLevel"/>
    <w:tmpl w:val="4520E746"/>
    <w:lvl w:ilvl="0" w:tentative="0">
      <w:start w:val="22"/>
      <w:numFmt w:val="chineseCounting"/>
      <w:suff w:val="space"/>
      <w:lvlText w:val="第%1条"/>
      <w:lvlJc w:val="left"/>
      <w:pPr>
        <w:ind w:left="0" w:firstLine="480"/>
      </w:pPr>
      <w:rPr>
        <w:rFonts w:hint="eastAsia"/>
      </w:rPr>
    </w:lvl>
  </w:abstractNum>
  <w:abstractNum w:abstractNumId="18">
    <w:nsid w:val="6BA69C10"/>
    <w:multiLevelType w:val="singleLevel"/>
    <w:tmpl w:val="6BA69C10"/>
    <w:lvl w:ilvl="0" w:tentative="0">
      <w:start w:val="1"/>
      <w:numFmt w:val="chineseCounting"/>
      <w:suff w:val="nothing"/>
      <w:lvlText w:val="（%1）"/>
      <w:lvlJc w:val="left"/>
      <w:pPr>
        <w:ind w:left="0" w:firstLine="480"/>
      </w:pPr>
      <w:rPr>
        <w:rFonts w:hint="eastAsia"/>
      </w:rPr>
    </w:lvl>
  </w:abstractNum>
  <w:abstractNum w:abstractNumId="19">
    <w:nsid w:val="6EE88CAB"/>
    <w:multiLevelType w:val="singleLevel"/>
    <w:tmpl w:val="6EE88CAB"/>
    <w:lvl w:ilvl="0" w:tentative="0">
      <w:start w:val="1"/>
      <w:numFmt w:val="chineseCounting"/>
      <w:suff w:val="nothing"/>
      <w:lvlText w:val="（%1）"/>
      <w:lvlJc w:val="left"/>
      <w:pPr>
        <w:ind w:left="0" w:firstLine="480"/>
      </w:pPr>
      <w:rPr>
        <w:rFonts w:hint="eastAsia"/>
      </w:rPr>
    </w:lvl>
  </w:abstractNum>
  <w:abstractNum w:abstractNumId="20">
    <w:nsid w:val="6FD51300"/>
    <w:multiLevelType w:val="singleLevel"/>
    <w:tmpl w:val="6FD51300"/>
    <w:lvl w:ilvl="0" w:tentative="0">
      <w:start w:val="15"/>
      <w:numFmt w:val="chineseCounting"/>
      <w:suff w:val="space"/>
      <w:lvlText w:val="第%1条"/>
      <w:lvlJc w:val="left"/>
      <w:pPr>
        <w:ind w:left="0" w:firstLine="480"/>
      </w:pPr>
      <w:rPr>
        <w:rFonts w:hint="eastAsia"/>
      </w:rPr>
    </w:lvl>
  </w:abstractNum>
  <w:abstractNum w:abstractNumId="21">
    <w:nsid w:val="747AA432"/>
    <w:multiLevelType w:val="singleLevel"/>
    <w:tmpl w:val="747AA432"/>
    <w:lvl w:ilvl="0" w:tentative="0">
      <w:start w:val="1"/>
      <w:numFmt w:val="chineseCounting"/>
      <w:suff w:val="nothing"/>
      <w:lvlText w:val="（%1）"/>
      <w:lvlJc w:val="left"/>
      <w:pPr>
        <w:ind w:left="0" w:firstLine="480"/>
      </w:pPr>
      <w:rPr>
        <w:rFonts w:hint="eastAsia"/>
      </w:rPr>
    </w:lvl>
  </w:abstractNum>
  <w:abstractNum w:abstractNumId="22">
    <w:nsid w:val="7D12DF4F"/>
    <w:multiLevelType w:val="singleLevel"/>
    <w:tmpl w:val="7D12DF4F"/>
    <w:lvl w:ilvl="0" w:tentative="0">
      <w:start w:val="1"/>
      <w:numFmt w:val="chineseCounting"/>
      <w:suff w:val="nothing"/>
      <w:lvlText w:val="（%1）"/>
      <w:lvlJc w:val="left"/>
      <w:pPr>
        <w:ind w:left="0" w:firstLine="480"/>
      </w:pPr>
      <w:rPr>
        <w:rFonts w:hint="eastAsia"/>
      </w:rPr>
    </w:lvl>
  </w:abstractNum>
  <w:num w:numId="1">
    <w:abstractNumId w:val="15"/>
  </w:num>
  <w:num w:numId="2">
    <w:abstractNumId w:val="14"/>
  </w:num>
  <w:num w:numId="3">
    <w:abstractNumId w:val="8"/>
  </w:num>
  <w:num w:numId="4">
    <w:abstractNumId w:val="20"/>
  </w:num>
  <w:num w:numId="5">
    <w:abstractNumId w:val="1"/>
  </w:num>
  <w:num w:numId="6">
    <w:abstractNumId w:val="3"/>
  </w:num>
  <w:num w:numId="7">
    <w:abstractNumId w:val="10"/>
  </w:num>
  <w:num w:numId="8">
    <w:abstractNumId w:val="9"/>
  </w:num>
  <w:num w:numId="9">
    <w:abstractNumId w:val="7"/>
  </w:num>
  <w:num w:numId="10">
    <w:abstractNumId w:val="4"/>
  </w:num>
  <w:num w:numId="11">
    <w:abstractNumId w:val="17"/>
  </w:num>
  <w:num w:numId="12">
    <w:abstractNumId w:val="6"/>
  </w:num>
  <w:num w:numId="13">
    <w:abstractNumId w:val="16"/>
  </w:num>
  <w:num w:numId="14">
    <w:abstractNumId w:val="21"/>
  </w:num>
  <w:num w:numId="15">
    <w:abstractNumId w:val="12"/>
  </w:num>
  <w:num w:numId="16">
    <w:abstractNumId w:val="13"/>
  </w:num>
  <w:num w:numId="17">
    <w:abstractNumId w:val="5"/>
  </w:num>
  <w:num w:numId="18">
    <w:abstractNumId w:val="19"/>
  </w:num>
  <w:num w:numId="19">
    <w:abstractNumId w:val="18"/>
  </w:num>
  <w:num w:numId="20">
    <w:abstractNumId w:val="0"/>
  </w:num>
  <w:num w:numId="21">
    <w:abstractNumId w:val="11"/>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07D4B"/>
    <w:rsid w:val="3E20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customStyle="1" w:styleId="17">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2025-12-18T00:35:00Z</dcterms:created>
  <dc:creator>Sansir</dc:creator>
  <cp:lastModifiedBy>Sansir</cp:lastModifiedBy>
  <dcterms:modified xsi:type="dcterms:W3CDTF">2025-12-18T00:36:31Z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0685E624640B44988410D6C98DD8D8CE_11</vt:lpwstr>
  </property>
  <property fmtid="{D5CDD505-2E9C-101B-9397-08002B2CF9AE}" pid="4" name="KSOTemplateDocerSaveRecord">
    <vt:lpwstr>eyJoZGlkIjoiMjU1MjU1Y2M1MDk0NzFjOGNlODlkMjllNDYwYzhlNGMiLCJ1c2VySWQiOiI3ODM2NDM3NTgifQ==</vt:lpwstr>
  </property>
</Properties>
</file>