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519ED">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黑体" w:hAnsi="黑体" w:eastAsia="黑体" w:cs="黑体"/>
          <w:b/>
          <w:bCs/>
          <w:i w:val="0"/>
          <w:iCs w:val="0"/>
          <w:caps w:val="0"/>
          <w:spacing w:val="0"/>
          <w:sz w:val="32"/>
          <w:szCs w:val="32"/>
        </w:rPr>
      </w:pPr>
      <w:bookmarkStart w:id="0" w:name="_GoBack"/>
      <w:bookmarkEnd w:id="0"/>
      <w:r>
        <w:rPr>
          <w:rFonts w:hint="eastAsia" w:ascii="黑体" w:hAnsi="黑体" w:eastAsia="黑体" w:cs="黑体"/>
          <w:b/>
          <w:bCs/>
          <w:i w:val="0"/>
          <w:iCs w:val="0"/>
          <w:caps w:val="0"/>
          <w:spacing w:val="0"/>
          <w:sz w:val="32"/>
          <w:szCs w:val="32"/>
        </w:rPr>
        <w:t xml:space="preserve">《内蒙古自治区城市管理执法协管人员管理办法（试行）》 </w:t>
      </w:r>
    </w:p>
    <w:p w14:paraId="4B35BBD9">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eastAsia" w:ascii="黑体" w:hAnsi="黑体" w:eastAsia="黑体" w:cs="黑体"/>
          <w:b/>
          <w:bCs/>
          <w:i w:val="0"/>
          <w:iCs w:val="0"/>
          <w:caps w:val="0"/>
          <w:spacing w:val="0"/>
          <w:sz w:val="32"/>
          <w:szCs w:val="32"/>
        </w:rPr>
      </w:pPr>
      <w:r>
        <w:rPr>
          <w:rFonts w:hint="eastAsia" w:ascii="黑体" w:hAnsi="黑体" w:eastAsia="黑体" w:cs="黑体"/>
          <w:b/>
          <w:bCs/>
          <w:i w:val="0"/>
          <w:iCs w:val="0"/>
          <w:caps w:val="0"/>
          <w:spacing w:val="0"/>
          <w:sz w:val="32"/>
          <w:szCs w:val="32"/>
        </w:rPr>
        <w:t xml:space="preserve">发文字号：内建督 (2020) 201 号 </w:t>
      </w:r>
    </w:p>
    <w:p w14:paraId="702F395A">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eastAsia" w:ascii="黑体" w:hAnsi="黑体" w:eastAsia="黑体" w:cs="黑体"/>
          <w:b/>
          <w:bCs/>
          <w:i w:val="0"/>
          <w:iCs w:val="0"/>
          <w:caps w:val="0"/>
          <w:spacing w:val="0"/>
          <w:sz w:val="32"/>
          <w:szCs w:val="32"/>
        </w:rPr>
      </w:pPr>
      <w:r>
        <w:rPr>
          <w:rFonts w:hint="eastAsia" w:ascii="黑体" w:hAnsi="黑体" w:eastAsia="黑体" w:cs="黑体"/>
          <w:b/>
          <w:bCs/>
          <w:i w:val="0"/>
          <w:iCs w:val="0"/>
          <w:caps w:val="0"/>
          <w:spacing w:val="0"/>
          <w:sz w:val="32"/>
          <w:szCs w:val="32"/>
        </w:rPr>
        <w:t>发布时间：2020 年 12 月 10 日</w:t>
      </w:r>
    </w:p>
    <w:p w14:paraId="5D506A32">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第一章 总则</w:t>
      </w:r>
    </w:p>
    <w:p w14:paraId="24C8610E">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第一条 为规范自治区城市管理执法协管人员管理，充分发挥执法协管人员在城市管理执法工作中的积极作用，根据中共中央、国务院《法治政府建设实施纲要 (2015—2020 年)》《城市管理执法办法》(住房城乡建设部令第 34 号) 和《内蒙古自治区人民政府关于加强行政执法队伍建设的意见》(内政发〔2016〕52 号) 精神，结合自治区实际，制定本办法。第二条 本办法所称城市管理执法协管人员 (以下简称协管人员)，是指履行本办法所规定职责和劳动合同约定的从事城市管理执法辅助事务的人员。第三条 自治区行政区域内协管人员的招聘、使用、管理等适用本办法。第四条 协管人员不具备行政执法资格。从事城市管理执法辅助事务受法律保护，并自觉接受社会监督。第五条 协管人员从事城市管理执法辅助事务产生的法律后果，由所在城市管理执法部门承担。第六条 协管人员管理遵循 “谁使用、谁负责” 的原则。旗县级以上城市管理执法部门作为用工主体，依法与协管人员签订劳动合同。第七条 自治区住房和城乡建设厅负责协管人员管理相关政策制定和指导监督工作；盟市、旗县 (市、区) 城市管理执法部门负责本辖区内协管人员的管理和监督等工作。</w:t>
      </w:r>
    </w:p>
    <w:p w14:paraId="6A4EACF7">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第二章 职责权限</w:t>
      </w:r>
    </w:p>
    <w:p w14:paraId="5ADF6502">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第八条 协管人员可独立承担下列工作：（一）执法文书制作、窗口服务、新闻宣传、信息采集、档案管理等事务性工作；（二）网络维护、数据统计分析、影视制作、翻译等技术性工作；（三）心理咨询、执法装备维护保养、通信保障、车辆驾驶等保障性工作。第九条 协管人员在城市管理执法部门和执法人员的指导和监督下，可承担下列行政执法辅助工作：（一）宣传城市管理方面的法律、法规和规章；（二）参与城市管理日常性事务，对所辖区域实施动态巡查；（三）协助执法人员劝阻和制止违反城市管理规定的行为；（四）维护行政执法现场秩序；（五）协助行政执法人员调查取证；（六）协助送达相关法律文书；（七）保护公共财产和人民群众人身财产安全；（八）收集并及时反映行政管理相对人对城市管理执法工作的意见和建议；（九）所在城市管理执法部门交办的其他执法辅助性事务。第十条 城市管理执法部门和执法人员不得安排协管人员从事下列工作：（一）行政执法案件的受理、立案；（二）独立从事行政执法的调查取证和审核；（三）作出行政执法决定；（四）独立实施行政强制措施；（五）法律法规规章禁止的其他事项。</w:t>
      </w:r>
    </w:p>
    <w:p w14:paraId="60F4F9E1">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第三章 权利与义务</w:t>
      </w:r>
    </w:p>
    <w:p w14:paraId="34106326">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第十一条 协管人员享有下列权利：（一）获得履行职责必要的工作条件；（二）非因法定事由、非经法定程序，不得被擅自解除劳动关系；（三）依法获得劳动合同约定的工资报酬及福利、保险等待遇；（四）接受岗位所需业务知识培训；（五）对所在城市管理执法部门及工作人员提出意见和建议；（六）依法提出申诉和控告；（七）依法要求解除劳动合同；（八）法律法规规定的其他权利。第十二条 协管人员应当履行下列义务：（一）遵守宪法和法律；（二）服从城市管理执法部门管理，听从现场行政执法人员指挥，接受群众监督；（三）遵守工作纪律和职业道德，尊重民族风俗习惯；（四）保守国家秘密和工作秘密；（五）法律法规规章和劳动合同规定的其他义务。第十三条 协管人员不得有下列行为：（一）超出职责范围协助行政执法活动；（二）拒不履行城市管理执法部门确定的权限范围内的工作职责；（三）擅自删改相关执法文书，复制影像资料、案件材料等；（四）侵犯他人隐私或者泄露相关需要保密的信息；（五）采用违法或不正当手段开展辅助执法工作；（六）参与与履行职责有关的经营活动或者受雇于其他组织、个人；（七）法律法规规章规定的其他禁止性行为。</w:t>
      </w:r>
    </w:p>
    <w:p w14:paraId="05407217">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第四章 招聘录用</w:t>
      </w:r>
    </w:p>
    <w:p w14:paraId="4CF777AF">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第十四条 城市管理执法部门聘用协管人员，应当坚持控制数量、注重质量的原则。聘用数量根据本地区常住人口和本部门现有执法人员数量合理确定。协管人员数量原则上不得超过在编人员。第十五条 城市管理执法部门不得自行招聘协管人员。因工作需要确需招聘的，应当按照公开、平等、竞争、择优的原则，制定招聘方案，报本级人民政府批准后面向社会公开招考。第十六条 协管人员应当具备下列条件：（一）拥护中华人民共和国宪法、遵守国家法律法规，道德品行良好，无违法犯罪记录；（二）年满十八周岁且首次受聘时年龄不超过三十五周岁；（三）具有大专以上学历（退伍军人可放宽至高中及以上）；（四）具备履行职责的身体条件和工作能力。第十七条 有下列情形之一的人员，不得招聘为协管人员：（一）受过刑事处罚或者涉嫌违法犯罪尚未查清的；（二）曾被行政拘留、收容教养或者有吸毒史的；（三）因违规违纪被行政机关、事业单位开除、辞退的；（四）曾参加过非法组织、邪教组织或危害国家安全活动的；（五）有较为严重的个人不良信用记录的；（六）其他不适合从事城市管理执法辅助工作的。第十八条 新招聘的协管人员试用期为 3 个月。试用期满经考核合格后正式录用。第十九条 协管人员劳动合同的订立、履行、变更、解除或者终止按照国家有关法律法规和规章及合同的约定执行。</w:t>
      </w:r>
    </w:p>
    <w:p w14:paraId="5B32F736">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第五章 教育培训</w:t>
      </w:r>
    </w:p>
    <w:p w14:paraId="661B53C4">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第二十条 新招聘的协管人员，须经本级城市管理执法部门进行岗前培训，培训时间不少于 10 个工作日，培训合格后，方可安排其履行相应岗位职责。第二十一条 城市管理执法部门应当建立健全协管人员培训制度，采取多种形式，加强协管人员理想信念、法律法规、职业道德、文明礼仪、工作纪律、专业技能等教育培训，引导协管人员树立大局意识、服务意识和荣誉意识。</w:t>
      </w:r>
    </w:p>
    <w:p w14:paraId="2E32E887">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第六章 管理</w:t>
      </w:r>
    </w:p>
    <w:p w14:paraId="5C307C12">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第二十二条 城市管理执法部门应当建立协管人员人事、工作信息档案。第二十三条 城市管理执法部门应当将协管人员纳入城市管理执法队伍统一管理，结合本地区实际，建立并落实协管人员管理制度：（一）岗位责任制和考核考勤制度；（二）政治业务学习和培训制度；（三）工作情况记载和请示报告制度；（四）廉政建设制度；（五）保密及奖惩制度。第二十四条 城市管理执法部门应当定期对协管人员的工作绩效、遵守纪律、教育培训等情况进行考核。考核结果作为协管人员奖惩、续聘、解聘、辞退的重要依据。第二十五条 协管人员从事执法辅助事务时，应当穿着统一制式服装，佩戴统一的标志标识。服装样式与执法人员相同，供应标准由协管人员所在城市管理执法部门比照执法人员确定。协管人员臂章字样将执法人员制式服装臂章中的 “中华人民共和国” 改为 “城市管理执法”，将 “城市管理执法” 改为 “协管”，字体字号均不变。胸号由两位字母后缀 6 位数字组成，其中两位字母为 “XG”，6 位数字前两位为城市编号，按《内蒙古自治区城市管理执法服装胸号编号方案》明确的城市编号执行，后四位数字为协管人员编号，由各盟市区分确定。帽徽、肩章、领花、胸徽等其它标志标识与执法人员相同。协管人员离职时，城市管理执法部门应当收回配发的服装、标识。</w:t>
      </w:r>
    </w:p>
    <w:p w14:paraId="14CD2B13">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第七章 考核与奖惩</w:t>
      </w:r>
    </w:p>
    <w:p w14:paraId="54017BCC">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第二十六条 城市管理执法部门应当建立健全协管人员的考核奖惩机制，对工作中表现突出、有显著成绩和贡献，或者有其他突出事迹的协管人员，应当给予表彰和奖励。第二十七条 协管人员违反本办法规定及所在单位规章制度的，城市管理执法部门应当视情节轻重，给予批评教育、通报批评、扣发绩效工资等处理；情节严重的，依法解除劳动合同；构成违法犯罪的，依法追究法律责任。</w:t>
      </w:r>
    </w:p>
    <w:p w14:paraId="1E4690A1">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第八章 附则</w:t>
      </w:r>
    </w:p>
    <w:p w14:paraId="3FBB1C65">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ascii="Times New Roman" w:hAnsi="Times New Roman" w:eastAsia="宋体" w:cs="Segoe UI Emoji"/>
          <w:i w:val="0"/>
          <w:iCs w:val="0"/>
          <w:caps w:val="0"/>
          <w:spacing w:val="0"/>
          <w:sz w:val="28"/>
          <w:szCs w:val="24"/>
        </w:rPr>
      </w:pPr>
      <w:r>
        <w:rPr>
          <w:rFonts w:hint="eastAsia" w:ascii="Times New Roman" w:hAnsi="Times New Roman" w:eastAsia="宋体" w:cs="Segoe UI Emoji"/>
          <w:i w:val="0"/>
          <w:iCs w:val="0"/>
          <w:caps w:val="0"/>
          <w:spacing w:val="0"/>
          <w:sz w:val="28"/>
          <w:szCs w:val="24"/>
        </w:rPr>
        <w:t>第二十八条 本办法由自治区住房和城乡建设厅负责解释。第二十九条 本办法自发布之日起施行。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auto"/>
    <w:pitch w:val="default"/>
    <w:sig w:usb0="00000001" w:usb1="02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457ED"/>
    <w:rsid w:val="2F64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2025-12-08T07:42:00Z</dcterms:created>
  <dc:creator>Believe·yourself</dc:creator>
  <cp:lastModifiedBy>Believe·yourself</cp:lastModifiedBy>
  <dcterms:modified xsi:type="dcterms:W3CDTF">2025-12-08T07:43:36Z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83E0D6049DE44B5EB976549E14BB1DE0_11</vt:lpwstr>
  </property>
  <property fmtid="{D5CDD505-2E9C-101B-9397-08002B2CF9AE}" pid="4" name="KSOTemplateDocerSaveRecord">
    <vt:lpwstr>eyJoZGlkIjoiZWI2NDVmODMwZmNhYzQyMzI0NDU2NDc2ZmI5M2QxNzMiLCJ1c2VySWQiOiI0NTQ2MzQ2MDQifQ==</vt:lpwstr>
  </property>
</Properties>
</file>